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8AEF" w14:textId="77777777" w:rsidR="00FC12B5" w:rsidRPr="001141A4" w:rsidRDefault="002C578F" w:rsidP="00175F62">
      <w:pPr>
        <w:pStyle w:val="Corpsdetexte"/>
        <w:tabs>
          <w:tab w:val="left" w:pos="0"/>
        </w:tabs>
        <w:ind w:right="-828"/>
      </w:pPr>
      <w:r w:rsidRPr="001141A4">
        <w:rPr>
          <w:rFonts w:cs="Arial"/>
          <w:noProof/>
        </w:rPr>
        <w:drawing>
          <wp:inline distT="0" distB="0" distL="0" distR="0" wp14:anchorId="74C0DFD6" wp14:editId="2658025D">
            <wp:extent cx="6315075" cy="1876425"/>
            <wp:effectExtent l="0" t="0" r="0" b="0"/>
            <wp:docPr id="1" name="Image 12" descr="Bandeaux_generique_A4_portrait_fleurbleue_FEAMP-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Bandeaux_generique_A4_portrait_fleurbleue_FEAMP-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075" cy="1876425"/>
                    </a:xfrm>
                    <a:prstGeom prst="rect">
                      <a:avLst/>
                    </a:prstGeom>
                    <a:noFill/>
                    <a:ln>
                      <a:noFill/>
                    </a:ln>
                  </pic:spPr>
                </pic:pic>
              </a:graphicData>
            </a:graphic>
          </wp:inline>
        </w:drawing>
      </w:r>
    </w:p>
    <w:p w14:paraId="1C95B54A" w14:textId="77777777" w:rsidR="00FC12B5" w:rsidRPr="001141A4" w:rsidRDefault="00FC12B5" w:rsidP="00F2544F">
      <w:pPr>
        <w:pStyle w:val="Corpsdetexte"/>
        <w:tabs>
          <w:tab w:val="left" w:pos="0"/>
        </w:tabs>
        <w:ind w:left="284" w:right="-828"/>
        <w:jc w:val="center"/>
      </w:pPr>
    </w:p>
    <w:p w14:paraId="36588FC8" w14:textId="77777777" w:rsidR="00FC12B5" w:rsidRPr="001141A4" w:rsidRDefault="00FC12B5" w:rsidP="00F2544F">
      <w:pPr>
        <w:pStyle w:val="Corpsdetexte"/>
        <w:tabs>
          <w:tab w:val="left" w:pos="0"/>
        </w:tabs>
        <w:ind w:left="284" w:right="-828"/>
        <w:jc w:val="center"/>
      </w:pPr>
    </w:p>
    <w:p w14:paraId="7E90B276" w14:textId="77777777" w:rsidR="00FC12B5" w:rsidRPr="001141A4" w:rsidRDefault="00FC12B5" w:rsidP="00F2544F">
      <w:pPr>
        <w:pStyle w:val="Corpsdetexte"/>
        <w:tabs>
          <w:tab w:val="left" w:pos="0"/>
        </w:tabs>
        <w:ind w:left="284" w:right="-828"/>
        <w:jc w:val="center"/>
        <w:rPr>
          <w:sz w:val="40"/>
          <w:szCs w:val="40"/>
        </w:rPr>
      </w:pPr>
    </w:p>
    <w:p w14:paraId="101B4BA9" w14:textId="77777777" w:rsidR="00FC12B5" w:rsidRPr="001141A4" w:rsidRDefault="00FC12B5" w:rsidP="00F2544F">
      <w:pPr>
        <w:pStyle w:val="Corpsdetexte"/>
        <w:tabs>
          <w:tab w:val="left" w:pos="0"/>
        </w:tabs>
        <w:ind w:left="284" w:right="-828"/>
        <w:jc w:val="center"/>
        <w:rPr>
          <w:sz w:val="40"/>
          <w:szCs w:val="40"/>
        </w:rPr>
      </w:pPr>
    </w:p>
    <w:p w14:paraId="0232505D" w14:textId="77777777" w:rsidR="00FC12B5" w:rsidRPr="001141A4" w:rsidRDefault="00801FC9" w:rsidP="00F2544F">
      <w:pPr>
        <w:pStyle w:val="Corpsdetexte"/>
        <w:tabs>
          <w:tab w:val="left" w:pos="0"/>
        </w:tabs>
        <w:ind w:left="284" w:right="-828"/>
        <w:jc w:val="center"/>
        <w:rPr>
          <w:b/>
          <w:sz w:val="28"/>
          <w:szCs w:val="28"/>
        </w:rPr>
      </w:pPr>
      <w:r>
        <w:rPr>
          <w:b/>
          <w:sz w:val="28"/>
          <w:szCs w:val="28"/>
        </w:rPr>
        <w:t>APPEL A PROJETS 2021</w:t>
      </w:r>
    </w:p>
    <w:p w14:paraId="5F41BB94" w14:textId="77777777" w:rsidR="00FC12B5" w:rsidRPr="001141A4" w:rsidRDefault="00FC12B5" w:rsidP="00F2544F">
      <w:pPr>
        <w:pStyle w:val="Corpsdetexte"/>
        <w:tabs>
          <w:tab w:val="left" w:pos="0"/>
        </w:tabs>
        <w:ind w:left="284" w:right="-828"/>
        <w:jc w:val="center"/>
        <w:rPr>
          <w:b/>
          <w:sz w:val="28"/>
          <w:szCs w:val="28"/>
        </w:rPr>
      </w:pPr>
    </w:p>
    <w:p w14:paraId="77C5F4A8" w14:textId="77777777" w:rsidR="00FC12B5" w:rsidRPr="001141A4" w:rsidRDefault="00FC12B5" w:rsidP="00F2544F">
      <w:pPr>
        <w:pStyle w:val="Corpsdetexte"/>
        <w:tabs>
          <w:tab w:val="left" w:pos="0"/>
        </w:tabs>
        <w:ind w:left="284" w:right="-828"/>
        <w:jc w:val="center"/>
        <w:rPr>
          <w:b/>
          <w:sz w:val="28"/>
          <w:szCs w:val="28"/>
        </w:rPr>
      </w:pPr>
      <w:r w:rsidRPr="001141A4">
        <w:rPr>
          <w:b/>
          <w:sz w:val="28"/>
          <w:szCs w:val="28"/>
        </w:rPr>
        <w:t>Mesure 28 du FEAMP</w:t>
      </w:r>
    </w:p>
    <w:p w14:paraId="0047C45A" w14:textId="77777777" w:rsidR="00FC12B5" w:rsidRPr="001141A4" w:rsidRDefault="00FC12B5" w:rsidP="00F2544F">
      <w:pPr>
        <w:pStyle w:val="Corpsdetexte"/>
        <w:tabs>
          <w:tab w:val="left" w:pos="0"/>
        </w:tabs>
        <w:ind w:left="284" w:right="-828"/>
        <w:jc w:val="center"/>
        <w:rPr>
          <w:b/>
          <w:sz w:val="28"/>
          <w:szCs w:val="28"/>
        </w:rPr>
      </w:pPr>
    </w:p>
    <w:p w14:paraId="5C4452C9" w14:textId="77777777" w:rsidR="00FC12B5" w:rsidRPr="001141A4" w:rsidRDefault="00FC12B5" w:rsidP="00F2544F">
      <w:pPr>
        <w:pStyle w:val="Corpsdetexte"/>
        <w:tabs>
          <w:tab w:val="left" w:pos="0"/>
        </w:tabs>
        <w:ind w:left="284" w:right="-828"/>
        <w:jc w:val="center"/>
        <w:rPr>
          <w:b/>
          <w:sz w:val="28"/>
          <w:szCs w:val="28"/>
        </w:rPr>
      </w:pPr>
      <w:r w:rsidRPr="001141A4">
        <w:rPr>
          <w:b/>
          <w:sz w:val="28"/>
          <w:szCs w:val="28"/>
        </w:rPr>
        <w:t xml:space="preserve">« Partenariats entre scientifiques et </w:t>
      </w:r>
      <w:proofErr w:type="gramStart"/>
      <w:r w:rsidRPr="001141A4">
        <w:rPr>
          <w:b/>
          <w:sz w:val="28"/>
          <w:szCs w:val="28"/>
        </w:rPr>
        <w:t>pêcheurs»</w:t>
      </w:r>
      <w:proofErr w:type="gramEnd"/>
    </w:p>
    <w:p w14:paraId="4428DBA9" w14:textId="77777777" w:rsidR="00FC12B5" w:rsidRPr="001141A4" w:rsidRDefault="00FC12B5" w:rsidP="00F2544F">
      <w:pPr>
        <w:pStyle w:val="Corpsdetexte"/>
        <w:tabs>
          <w:tab w:val="left" w:pos="0"/>
        </w:tabs>
        <w:ind w:left="284" w:right="-828"/>
        <w:jc w:val="center"/>
        <w:rPr>
          <w:b/>
        </w:rPr>
      </w:pPr>
    </w:p>
    <w:p w14:paraId="6E7FC72C" w14:textId="77777777" w:rsidR="00FC12B5" w:rsidRPr="001141A4" w:rsidRDefault="00FC12B5" w:rsidP="00F2544F">
      <w:pPr>
        <w:pStyle w:val="Corpsdetexte"/>
        <w:tabs>
          <w:tab w:val="left" w:pos="0"/>
        </w:tabs>
        <w:ind w:left="284" w:right="-828"/>
        <w:jc w:val="center"/>
        <w:rPr>
          <w:b/>
        </w:rPr>
      </w:pPr>
    </w:p>
    <w:p w14:paraId="3708C897" w14:textId="77777777" w:rsidR="00FC12B5" w:rsidRPr="001141A4" w:rsidRDefault="00FC12B5" w:rsidP="00175F62">
      <w:pPr>
        <w:pStyle w:val="Corpsdetexte"/>
        <w:tabs>
          <w:tab w:val="left" w:pos="0"/>
        </w:tabs>
        <w:ind w:right="-828"/>
        <w:rPr>
          <w:b/>
        </w:rPr>
      </w:pPr>
    </w:p>
    <w:p w14:paraId="67040805" w14:textId="77777777" w:rsidR="00FC12B5" w:rsidRPr="001141A4" w:rsidRDefault="00FC12B5" w:rsidP="00175F62">
      <w:pPr>
        <w:pStyle w:val="Corpsdetexte"/>
        <w:tabs>
          <w:tab w:val="left" w:pos="0"/>
        </w:tabs>
        <w:ind w:right="-828"/>
        <w:rPr>
          <w:b/>
        </w:rPr>
      </w:pPr>
    </w:p>
    <w:p w14:paraId="20B48661" w14:textId="77777777" w:rsidR="00FC12B5" w:rsidRPr="001141A4" w:rsidRDefault="00FC12B5" w:rsidP="00175F62">
      <w:pPr>
        <w:pStyle w:val="Corpsdetexte"/>
        <w:tabs>
          <w:tab w:val="left" w:pos="0"/>
        </w:tabs>
        <w:ind w:right="-828"/>
        <w:rPr>
          <w:b/>
        </w:rPr>
      </w:pPr>
    </w:p>
    <w:p w14:paraId="4893F38E" w14:textId="77777777" w:rsidR="00FC12B5" w:rsidRPr="001141A4" w:rsidRDefault="00FC12B5" w:rsidP="00F2544F">
      <w:pPr>
        <w:pStyle w:val="Corpsdetexte"/>
        <w:tabs>
          <w:tab w:val="left" w:pos="0"/>
        </w:tabs>
        <w:ind w:left="284" w:right="-828"/>
        <w:jc w:val="center"/>
        <w:rPr>
          <w:b/>
          <w:sz w:val="22"/>
        </w:rPr>
      </w:pPr>
    </w:p>
    <w:p w14:paraId="6EF370E4" w14:textId="77777777" w:rsidR="00FC12B5" w:rsidRPr="001141A4" w:rsidRDefault="00FC12B5" w:rsidP="00F2544F">
      <w:pPr>
        <w:pStyle w:val="Corpsdetexte"/>
        <w:pBdr>
          <w:top w:val="single" w:sz="4" w:space="1" w:color="auto"/>
          <w:left w:val="single" w:sz="4" w:space="4" w:color="auto"/>
          <w:bottom w:val="single" w:sz="4" w:space="1" w:color="auto"/>
          <w:right w:val="single" w:sz="4" w:space="4" w:color="auto"/>
        </w:pBdr>
        <w:tabs>
          <w:tab w:val="left" w:pos="0"/>
        </w:tabs>
        <w:ind w:left="284" w:right="-828"/>
        <w:jc w:val="center"/>
        <w:rPr>
          <w:b/>
          <w:sz w:val="40"/>
          <w:szCs w:val="40"/>
        </w:rPr>
      </w:pPr>
    </w:p>
    <w:p w14:paraId="0C3EC0A9" w14:textId="77777777" w:rsidR="00FC12B5" w:rsidRPr="001141A4" w:rsidRDefault="00FC12B5" w:rsidP="00F2544F">
      <w:pPr>
        <w:pStyle w:val="Corpsdetexte"/>
        <w:pBdr>
          <w:top w:val="single" w:sz="4" w:space="1" w:color="auto"/>
          <w:left w:val="single" w:sz="4" w:space="4" w:color="auto"/>
          <w:bottom w:val="single" w:sz="4" w:space="1" w:color="auto"/>
          <w:right w:val="single" w:sz="4" w:space="4" w:color="auto"/>
        </w:pBdr>
        <w:tabs>
          <w:tab w:val="left" w:pos="0"/>
        </w:tabs>
        <w:ind w:left="284" w:right="-828"/>
        <w:jc w:val="center"/>
        <w:rPr>
          <w:b/>
          <w:sz w:val="40"/>
          <w:szCs w:val="40"/>
        </w:rPr>
      </w:pPr>
      <w:r w:rsidRPr="001141A4">
        <w:rPr>
          <w:b/>
          <w:sz w:val="40"/>
          <w:szCs w:val="40"/>
        </w:rPr>
        <w:t>Cahier des charges</w:t>
      </w:r>
    </w:p>
    <w:p w14:paraId="5E71C12D" w14:textId="77777777" w:rsidR="00FC12B5" w:rsidRPr="001141A4" w:rsidRDefault="00FC12B5" w:rsidP="00F2544F">
      <w:pPr>
        <w:pStyle w:val="Corpsdetexte"/>
        <w:pBdr>
          <w:top w:val="single" w:sz="4" w:space="1" w:color="auto"/>
          <w:left w:val="single" w:sz="4" w:space="4" w:color="auto"/>
          <w:bottom w:val="single" w:sz="4" w:space="1" w:color="auto"/>
          <w:right w:val="single" w:sz="4" w:space="4" w:color="auto"/>
        </w:pBdr>
        <w:tabs>
          <w:tab w:val="left" w:pos="0"/>
        </w:tabs>
        <w:ind w:left="284" w:right="-828"/>
        <w:jc w:val="center"/>
        <w:rPr>
          <w:b/>
          <w:sz w:val="40"/>
          <w:szCs w:val="40"/>
        </w:rPr>
      </w:pPr>
    </w:p>
    <w:p w14:paraId="4D0CB483" w14:textId="77777777" w:rsidR="00FC12B5" w:rsidRPr="001141A4" w:rsidRDefault="00FC12B5" w:rsidP="00F2544F">
      <w:pPr>
        <w:pStyle w:val="Corpsdetexte"/>
        <w:tabs>
          <w:tab w:val="left" w:pos="0"/>
        </w:tabs>
        <w:ind w:left="284" w:right="-828"/>
        <w:jc w:val="center"/>
        <w:rPr>
          <w:b/>
        </w:rPr>
      </w:pPr>
    </w:p>
    <w:p w14:paraId="7B75E545" w14:textId="77B85FE8" w:rsidR="00FC12B5" w:rsidRPr="001141A4" w:rsidRDefault="00FC12B5" w:rsidP="00F2544F">
      <w:pPr>
        <w:pStyle w:val="Corpsdetexte"/>
        <w:tabs>
          <w:tab w:val="left" w:pos="0"/>
        </w:tabs>
        <w:ind w:left="284" w:right="-828"/>
        <w:jc w:val="center"/>
        <w:rPr>
          <w:b/>
          <w:sz w:val="28"/>
          <w:szCs w:val="28"/>
        </w:rPr>
      </w:pPr>
      <w:r w:rsidRPr="001141A4">
        <w:rPr>
          <w:b/>
          <w:sz w:val="28"/>
          <w:szCs w:val="28"/>
        </w:rPr>
        <w:t xml:space="preserve">Date de lancement de l’appel à projet : </w:t>
      </w:r>
      <w:r w:rsidR="00FD5370">
        <w:rPr>
          <w:b/>
          <w:sz w:val="28"/>
          <w:szCs w:val="28"/>
        </w:rPr>
        <w:t>8 mars</w:t>
      </w:r>
      <w:r w:rsidR="004C52F3">
        <w:rPr>
          <w:b/>
          <w:sz w:val="28"/>
          <w:szCs w:val="28"/>
        </w:rPr>
        <w:t xml:space="preserve"> </w:t>
      </w:r>
      <w:r w:rsidR="00801FC9">
        <w:rPr>
          <w:b/>
          <w:sz w:val="28"/>
          <w:szCs w:val="28"/>
        </w:rPr>
        <w:t>2021</w:t>
      </w:r>
    </w:p>
    <w:p w14:paraId="74E9868B" w14:textId="4CFA0D81" w:rsidR="00FC12B5" w:rsidRPr="001141A4" w:rsidRDefault="00FC12B5" w:rsidP="00F2544F">
      <w:pPr>
        <w:pStyle w:val="Corpsdetexte"/>
        <w:tabs>
          <w:tab w:val="left" w:pos="0"/>
        </w:tabs>
        <w:ind w:left="284" w:right="-828"/>
        <w:jc w:val="center"/>
        <w:rPr>
          <w:b/>
          <w:sz w:val="28"/>
          <w:szCs w:val="28"/>
        </w:rPr>
      </w:pPr>
      <w:r w:rsidRPr="001141A4">
        <w:rPr>
          <w:b/>
          <w:sz w:val="28"/>
          <w:szCs w:val="28"/>
        </w:rPr>
        <w:t xml:space="preserve">Date de clôture de l’appel à projet : </w:t>
      </w:r>
      <w:r w:rsidR="004C52F3">
        <w:rPr>
          <w:b/>
          <w:sz w:val="28"/>
          <w:szCs w:val="28"/>
        </w:rPr>
        <w:t>28 mai</w:t>
      </w:r>
      <w:r w:rsidR="00801FC9">
        <w:rPr>
          <w:b/>
          <w:sz w:val="28"/>
          <w:szCs w:val="28"/>
        </w:rPr>
        <w:t xml:space="preserve"> 2021</w:t>
      </w:r>
      <w:r w:rsidR="007A045D">
        <w:rPr>
          <w:b/>
          <w:sz w:val="28"/>
          <w:szCs w:val="28"/>
        </w:rPr>
        <w:t xml:space="preserve"> à 15h00 (heure de Paris)</w:t>
      </w:r>
    </w:p>
    <w:p w14:paraId="3DDB73B7" w14:textId="77777777" w:rsidR="00FC12B5" w:rsidRPr="001141A4" w:rsidRDefault="00FC12B5" w:rsidP="00F2544F">
      <w:pPr>
        <w:pStyle w:val="Corpsdetexte"/>
        <w:tabs>
          <w:tab w:val="left" w:pos="0"/>
        </w:tabs>
        <w:ind w:left="284" w:right="-828"/>
        <w:jc w:val="center"/>
        <w:rPr>
          <w:b/>
          <w:sz w:val="28"/>
          <w:szCs w:val="28"/>
        </w:rPr>
      </w:pPr>
    </w:p>
    <w:p w14:paraId="26F2F8A4" w14:textId="77777777" w:rsidR="00595F43" w:rsidRPr="001141A4" w:rsidRDefault="00595F43" w:rsidP="00595F43">
      <w:pPr>
        <w:pStyle w:val="Corpsdetexte"/>
        <w:tabs>
          <w:tab w:val="left" w:pos="0"/>
        </w:tabs>
        <w:ind w:left="284" w:right="-828"/>
        <w:jc w:val="center"/>
        <w:rPr>
          <w:b/>
          <w:sz w:val="28"/>
          <w:szCs w:val="28"/>
        </w:rPr>
      </w:pPr>
      <w:r w:rsidRPr="001141A4">
        <w:rPr>
          <w:b/>
          <w:sz w:val="28"/>
          <w:szCs w:val="28"/>
        </w:rPr>
        <w:t>Contact : aapfeamp2840.dpma@developpement-durable.gouv.fr</w:t>
      </w:r>
    </w:p>
    <w:p w14:paraId="52397827" w14:textId="77777777" w:rsidR="00FC12B5" w:rsidRPr="001141A4" w:rsidRDefault="00FC12B5" w:rsidP="00F2544F">
      <w:pPr>
        <w:pStyle w:val="Corpsdetexte"/>
        <w:tabs>
          <w:tab w:val="left" w:pos="0"/>
        </w:tabs>
        <w:ind w:left="284" w:right="-828"/>
        <w:jc w:val="center"/>
        <w:rPr>
          <w:b/>
        </w:rPr>
      </w:pPr>
    </w:p>
    <w:p w14:paraId="01C36270" w14:textId="77777777" w:rsidR="00FC12B5" w:rsidRPr="001141A4" w:rsidRDefault="00FC12B5" w:rsidP="00F2544F">
      <w:pPr>
        <w:pStyle w:val="Corpsdetexte"/>
        <w:tabs>
          <w:tab w:val="left" w:pos="0"/>
        </w:tabs>
        <w:ind w:right="-828"/>
      </w:pPr>
    </w:p>
    <w:p w14:paraId="3FA4163D" w14:textId="003FC755" w:rsidR="00FC12B5" w:rsidRPr="001141A4" w:rsidRDefault="002C578F" w:rsidP="00F66F15">
      <w:pPr>
        <w:pStyle w:val="Corpsdetexte"/>
        <w:tabs>
          <w:tab w:val="left" w:pos="0"/>
        </w:tabs>
        <w:ind w:left="284" w:right="-828"/>
        <w:jc w:val="center"/>
      </w:pPr>
      <w:r w:rsidRPr="001141A4">
        <w:rPr>
          <w:rFonts w:cs="Arial"/>
          <w:noProof/>
        </w:rPr>
        <w:drawing>
          <wp:inline distT="0" distB="0" distL="0" distR="0" wp14:anchorId="195F79BD" wp14:editId="7ECDF3DD">
            <wp:extent cx="1695450" cy="1152525"/>
            <wp:effectExtent l="0" t="0" r="0" b="0"/>
            <wp:docPr id="2" name="Image 13" descr="eur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europ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152525"/>
                    </a:xfrm>
                    <a:prstGeom prst="rect">
                      <a:avLst/>
                    </a:prstGeom>
                    <a:noFill/>
                    <a:ln>
                      <a:noFill/>
                    </a:ln>
                  </pic:spPr>
                </pic:pic>
              </a:graphicData>
            </a:graphic>
          </wp:inline>
        </w:drawing>
      </w:r>
      <w:r w:rsidR="00FC12B5" w:rsidRPr="001141A4">
        <w:rPr>
          <w:rFonts w:cs="Arial"/>
        </w:rPr>
        <w:t xml:space="preserve">   </w:t>
      </w:r>
      <w:r w:rsidR="00411468" w:rsidRPr="00411468">
        <w:rPr>
          <w:noProof/>
        </w:rPr>
        <w:t xml:space="preserve"> </w:t>
      </w:r>
      <w:r w:rsidR="00411468" w:rsidRPr="00411468">
        <w:rPr>
          <w:rFonts w:cs="Arial"/>
          <w:noProof/>
        </w:rPr>
        <w:drawing>
          <wp:inline distT="0" distB="0" distL="0" distR="0" wp14:anchorId="6EAF5382" wp14:editId="44E2DF12">
            <wp:extent cx="1174271" cy="1167764"/>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8067" cy="1191428"/>
                    </a:xfrm>
                    <a:prstGeom prst="rect">
                      <a:avLst/>
                    </a:prstGeom>
                  </pic:spPr>
                </pic:pic>
              </a:graphicData>
            </a:graphic>
          </wp:inline>
        </w:drawing>
      </w:r>
    </w:p>
    <w:p w14:paraId="14F5FACE" w14:textId="77777777" w:rsidR="004C13E6" w:rsidRPr="001141A4" w:rsidRDefault="004C13E6">
      <w:pPr>
        <w:pStyle w:val="TM1"/>
        <w:tabs>
          <w:tab w:val="left" w:pos="440"/>
          <w:tab w:val="right" w:leader="dot" w:pos="9060"/>
        </w:tabs>
        <w:rPr>
          <w:rFonts w:ascii="Arial" w:hAnsi="Arial" w:cs="Arial"/>
          <w:b/>
          <w:color w:val="31849B"/>
          <w:sz w:val="28"/>
          <w:szCs w:val="28"/>
        </w:rPr>
      </w:pPr>
    </w:p>
    <w:p w14:paraId="19FCC7DB" w14:textId="042128BF" w:rsidR="00982FFF" w:rsidRDefault="00982FFF" w:rsidP="00982FFF">
      <w:pPr>
        <w:rPr>
          <w:rFonts w:ascii="Arial" w:hAnsi="Arial" w:cs="Arial"/>
          <w:b/>
          <w:color w:val="31849B"/>
          <w:sz w:val="28"/>
          <w:szCs w:val="28"/>
        </w:rPr>
      </w:pPr>
    </w:p>
    <w:p w14:paraId="0724EA00" w14:textId="77777777" w:rsidR="00982FFF" w:rsidRPr="00982FFF" w:rsidRDefault="00982FFF" w:rsidP="008261FD"/>
    <w:p w14:paraId="090F42ED" w14:textId="77777777" w:rsidR="00FC12B5" w:rsidRPr="001141A4" w:rsidRDefault="00FC12B5">
      <w:pPr>
        <w:pStyle w:val="TM1"/>
        <w:tabs>
          <w:tab w:val="left" w:pos="440"/>
          <w:tab w:val="right" w:leader="dot" w:pos="9060"/>
        </w:tabs>
        <w:rPr>
          <w:rFonts w:ascii="Arial" w:hAnsi="Arial" w:cs="Arial"/>
          <w:b/>
          <w:color w:val="31849B"/>
          <w:sz w:val="28"/>
          <w:szCs w:val="28"/>
        </w:rPr>
      </w:pPr>
      <w:r w:rsidRPr="001141A4">
        <w:rPr>
          <w:rFonts w:ascii="Arial" w:hAnsi="Arial" w:cs="Arial"/>
          <w:b/>
          <w:color w:val="31849B"/>
          <w:sz w:val="28"/>
          <w:szCs w:val="28"/>
        </w:rPr>
        <w:lastRenderedPageBreak/>
        <w:t>SOMMAIRE</w:t>
      </w:r>
    </w:p>
    <w:p w14:paraId="69775272" w14:textId="4F2EBFFD" w:rsidR="009B6183" w:rsidRDefault="000D04CE">
      <w:pPr>
        <w:pStyle w:val="TM1"/>
        <w:tabs>
          <w:tab w:val="left" w:pos="440"/>
          <w:tab w:val="right" w:leader="dot" w:pos="9060"/>
        </w:tabs>
        <w:rPr>
          <w:rFonts w:asciiTheme="minorHAnsi" w:eastAsiaTheme="minorEastAsia" w:hAnsiTheme="minorHAnsi" w:cstheme="minorBidi"/>
          <w:noProof/>
        </w:rPr>
      </w:pPr>
      <w:r w:rsidRPr="001141A4">
        <w:rPr>
          <w:rFonts w:ascii="Arial" w:hAnsi="Arial" w:cs="Arial"/>
          <w:b/>
          <w:color w:val="31849B"/>
          <w:sz w:val="28"/>
          <w:szCs w:val="28"/>
        </w:rPr>
        <w:fldChar w:fldCharType="begin"/>
      </w:r>
      <w:r w:rsidR="00FC12B5" w:rsidRPr="001141A4">
        <w:rPr>
          <w:rFonts w:ascii="Arial" w:hAnsi="Arial" w:cs="Arial"/>
          <w:b/>
          <w:color w:val="31849B"/>
          <w:sz w:val="28"/>
          <w:szCs w:val="28"/>
        </w:rPr>
        <w:instrText xml:space="preserve"> TOC \o "1-2" \h \z \u </w:instrText>
      </w:r>
      <w:r w:rsidRPr="001141A4">
        <w:rPr>
          <w:rFonts w:ascii="Arial" w:hAnsi="Arial" w:cs="Arial"/>
          <w:b/>
          <w:color w:val="31849B"/>
          <w:sz w:val="28"/>
          <w:szCs w:val="28"/>
        </w:rPr>
        <w:fldChar w:fldCharType="separate"/>
      </w:r>
      <w:hyperlink w:anchor="_Toc65595676" w:history="1">
        <w:r w:rsidR="009B6183" w:rsidRPr="00AC6D6B">
          <w:rPr>
            <w:rStyle w:val="Lienhypertexte"/>
            <w:rFonts w:ascii="Arial" w:hAnsi="Arial"/>
            <w:b/>
            <w:noProof/>
          </w:rPr>
          <w:t>1.</w:t>
        </w:r>
        <w:r w:rsidR="009B6183">
          <w:rPr>
            <w:rFonts w:asciiTheme="minorHAnsi" w:eastAsiaTheme="minorEastAsia" w:hAnsiTheme="minorHAnsi" w:cstheme="minorBidi"/>
            <w:noProof/>
          </w:rPr>
          <w:tab/>
        </w:r>
        <w:r w:rsidR="009B6183" w:rsidRPr="00AC6D6B">
          <w:rPr>
            <w:rStyle w:val="Lienhypertexte"/>
            <w:rFonts w:ascii="Arial" w:hAnsi="Arial" w:cs="Arial"/>
            <w:b/>
            <w:noProof/>
          </w:rPr>
          <w:t>Objectifs et volets de l’appel à projets</w:t>
        </w:r>
        <w:r w:rsidR="009B6183">
          <w:rPr>
            <w:noProof/>
            <w:webHidden/>
          </w:rPr>
          <w:tab/>
        </w:r>
        <w:r w:rsidR="009B6183">
          <w:rPr>
            <w:noProof/>
            <w:webHidden/>
          </w:rPr>
          <w:fldChar w:fldCharType="begin"/>
        </w:r>
        <w:r w:rsidR="009B6183">
          <w:rPr>
            <w:noProof/>
            <w:webHidden/>
          </w:rPr>
          <w:instrText xml:space="preserve"> PAGEREF _Toc65595676 \h </w:instrText>
        </w:r>
        <w:r w:rsidR="009B6183">
          <w:rPr>
            <w:noProof/>
            <w:webHidden/>
          </w:rPr>
        </w:r>
        <w:r w:rsidR="009B6183">
          <w:rPr>
            <w:noProof/>
            <w:webHidden/>
          </w:rPr>
          <w:fldChar w:fldCharType="separate"/>
        </w:r>
        <w:r w:rsidR="009B6183">
          <w:rPr>
            <w:noProof/>
            <w:webHidden/>
          </w:rPr>
          <w:t>3</w:t>
        </w:r>
        <w:r w:rsidR="009B6183">
          <w:rPr>
            <w:noProof/>
            <w:webHidden/>
          </w:rPr>
          <w:fldChar w:fldCharType="end"/>
        </w:r>
      </w:hyperlink>
    </w:p>
    <w:p w14:paraId="21A2C087" w14:textId="170520AD" w:rsidR="009B6183" w:rsidRDefault="009B6183">
      <w:pPr>
        <w:pStyle w:val="TM2"/>
        <w:tabs>
          <w:tab w:val="left" w:pos="880"/>
          <w:tab w:val="right" w:leader="dot" w:pos="9060"/>
        </w:tabs>
        <w:rPr>
          <w:rFonts w:asciiTheme="minorHAnsi" w:eastAsiaTheme="minorEastAsia" w:hAnsiTheme="minorHAnsi" w:cstheme="minorBidi"/>
          <w:noProof/>
        </w:rPr>
      </w:pPr>
      <w:hyperlink w:anchor="_Toc65595677" w:history="1">
        <w:r w:rsidRPr="00AC6D6B">
          <w:rPr>
            <w:rStyle w:val="Lienhypertexte"/>
            <w:rFonts w:ascii="Arial" w:hAnsi="Arial"/>
            <w:b/>
            <w:noProof/>
          </w:rPr>
          <w:t>1.1.</w:t>
        </w:r>
        <w:r>
          <w:rPr>
            <w:rFonts w:asciiTheme="minorHAnsi" w:eastAsiaTheme="minorEastAsia" w:hAnsiTheme="minorHAnsi" w:cstheme="minorBidi"/>
            <w:noProof/>
          </w:rPr>
          <w:tab/>
        </w:r>
        <w:r w:rsidRPr="00AC6D6B">
          <w:rPr>
            <w:rStyle w:val="Lienhypertexte"/>
            <w:rFonts w:ascii="Arial" w:hAnsi="Arial" w:cs="Arial"/>
            <w:b/>
            <w:noProof/>
          </w:rPr>
          <w:t>Objectifs</w:t>
        </w:r>
        <w:r>
          <w:rPr>
            <w:noProof/>
            <w:webHidden/>
          </w:rPr>
          <w:tab/>
        </w:r>
        <w:r>
          <w:rPr>
            <w:noProof/>
            <w:webHidden/>
          </w:rPr>
          <w:fldChar w:fldCharType="begin"/>
        </w:r>
        <w:r>
          <w:rPr>
            <w:noProof/>
            <w:webHidden/>
          </w:rPr>
          <w:instrText xml:space="preserve"> PAGEREF _Toc65595677 \h </w:instrText>
        </w:r>
        <w:r>
          <w:rPr>
            <w:noProof/>
            <w:webHidden/>
          </w:rPr>
        </w:r>
        <w:r>
          <w:rPr>
            <w:noProof/>
            <w:webHidden/>
          </w:rPr>
          <w:fldChar w:fldCharType="separate"/>
        </w:r>
        <w:r>
          <w:rPr>
            <w:noProof/>
            <w:webHidden/>
          </w:rPr>
          <w:t>3</w:t>
        </w:r>
        <w:r>
          <w:rPr>
            <w:noProof/>
            <w:webHidden/>
          </w:rPr>
          <w:fldChar w:fldCharType="end"/>
        </w:r>
      </w:hyperlink>
    </w:p>
    <w:p w14:paraId="7BC0AEBD" w14:textId="6F93014E" w:rsidR="009B6183" w:rsidRDefault="009B6183">
      <w:pPr>
        <w:pStyle w:val="TM2"/>
        <w:tabs>
          <w:tab w:val="left" w:pos="880"/>
          <w:tab w:val="right" w:leader="dot" w:pos="9060"/>
        </w:tabs>
        <w:rPr>
          <w:rFonts w:asciiTheme="minorHAnsi" w:eastAsiaTheme="minorEastAsia" w:hAnsiTheme="minorHAnsi" w:cstheme="minorBidi"/>
          <w:noProof/>
        </w:rPr>
      </w:pPr>
      <w:hyperlink w:anchor="_Toc65595678" w:history="1">
        <w:r w:rsidRPr="00AC6D6B">
          <w:rPr>
            <w:rStyle w:val="Lienhypertexte"/>
            <w:rFonts w:ascii="Arial" w:hAnsi="Arial"/>
            <w:b/>
            <w:noProof/>
          </w:rPr>
          <w:t>1.2.</w:t>
        </w:r>
        <w:r>
          <w:rPr>
            <w:rFonts w:asciiTheme="minorHAnsi" w:eastAsiaTheme="minorEastAsia" w:hAnsiTheme="minorHAnsi" w:cstheme="minorBidi"/>
            <w:noProof/>
          </w:rPr>
          <w:tab/>
        </w:r>
        <w:r w:rsidRPr="00AC6D6B">
          <w:rPr>
            <w:rStyle w:val="Lienhypertexte"/>
            <w:rFonts w:ascii="Arial" w:hAnsi="Arial" w:cs="Arial"/>
            <w:b/>
            <w:noProof/>
          </w:rPr>
          <w:t>Volet 1 : « Suivi régulier de l’état des stocks halieutiques par des indices d’abondance »</w:t>
        </w:r>
        <w:r>
          <w:rPr>
            <w:noProof/>
            <w:webHidden/>
          </w:rPr>
          <w:tab/>
        </w:r>
        <w:r>
          <w:rPr>
            <w:noProof/>
            <w:webHidden/>
          </w:rPr>
          <w:fldChar w:fldCharType="begin"/>
        </w:r>
        <w:r>
          <w:rPr>
            <w:noProof/>
            <w:webHidden/>
          </w:rPr>
          <w:instrText xml:space="preserve"> PAGEREF _Toc65595678 \h </w:instrText>
        </w:r>
        <w:r>
          <w:rPr>
            <w:noProof/>
            <w:webHidden/>
          </w:rPr>
        </w:r>
        <w:r>
          <w:rPr>
            <w:noProof/>
            <w:webHidden/>
          </w:rPr>
          <w:fldChar w:fldCharType="separate"/>
        </w:r>
        <w:r>
          <w:rPr>
            <w:noProof/>
            <w:webHidden/>
          </w:rPr>
          <w:t>3</w:t>
        </w:r>
        <w:r>
          <w:rPr>
            <w:noProof/>
            <w:webHidden/>
          </w:rPr>
          <w:fldChar w:fldCharType="end"/>
        </w:r>
      </w:hyperlink>
    </w:p>
    <w:p w14:paraId="29FC959A" w14:textId="7BD8961B" w:rsidR="009B6183" w:rsidRDefault="009B6183">
      <w:pPr>
        <w:pStyle w:val="TM2"/>
        <w:tabs>
          <w:tab w:val="left" w:pos="880"/>
          <w:tab w:val="right" w:leader="dot" w:pos="9060"/>
        </w:tabs>
        <w:rPr>
          <w:rFonts w:asciiTheme="minorHAnsi" w:eastAsiaTheme="minorEastAsia" w:hAnsiTheme="minorHAnsi" w:cstheme="minorBidi"/>
          <w:noProof/>
        </w:rPr>
      </w:pPr>
      <w:hyperlink w:anchor="_Toc65595679" w:history="1">
        <w:r w:rsidRPr="00AC6D6B">
          <w:rPr>
            <w:rStyle w:val="Lienhypertexte"/>
            <w:rFonts w:ascii="Arial" w:hAnsi="Arial"/>
            <w:b/>
            <w:noProof/>
          </w:rPr>
          <w:t>1.3.</w:t>
        </w:r>
        <w:r>
          <w:rPr>
            <w:rFonts w:asciiTheme="minorHAnsi" w:eastAsiaTheme="minorEastAsia" w:hAnsiTheme="minorHAnsi" w:cstheme="minorBidi"/>
            <w:noProof/>
          </w:rPr>
          <w:tab/>
        </w:r>
        <w:r w:rsidRPr="00AC6D6B">
          <w:rPr>
            <w:rStyle w:val="Lienhypertexte"/>
            <w:rFonts w:ascii="Arial" w:hAnsi="Arial" w:cs="Arial"/>
            <w:b/>
            <w:noProof/>
          </w:rPr>
          <w:t>Volet 2 : « Amélioration des connaissances des captures, des rejets et de l’effort de pêche »</w:t>
        </w:r>
        <w:r>
          <w:rPr>
            <w:noProof/>
            <w:webHidden/>
          </w:rPr>
          <w:tab/>
        </w:r>
        <w:r>
          <w:rPr>
            <w:noProof/>
            <w:webHidden/>
          </w:rPr>
          <w:fldChar w:fldCharType="begin"/>
        </w:r>
        <w:r>
          <w:rPr>
            <w:noProof/>
            <w:webHidden/>
          </w:rPr>
          <w:instrText xml:space="preserve"> PAGEREF _Toc65595679 \h </w:instrText>
        </w:r>
        <w:r>
          <w:rPr>
            <w:noProof/>
            <w:webHidden/>
          </w:rPr>
        </w:r>
        <w:r>
          <w:rPr>
            <w:noProof/>
            <w:webHidden/>
          </w:rPr>
          <w:fldChar w:fldCharType="separate"/>
        </w:r>
        <w:r>
          <w:rPr>
            <w:noProof/>
            <w:webHidden/>
          </w:rPr>
          <w:t>4</w:t>
        </w:r>
        <w:r>
          <w:rPr>
            <w:noProof/>
            <w:webHidden/>
          </w:rPr>
          <w:fldChar w:fldCharType="end"/>
        </w:r>
      </w:hyperlink>
    </w:p>
    <w:p w14:paraId="5A04020C" w14:textId="02A7CB50" w:rsidR="009B6183" w:rsidRDefault="009B6183">
      <w:pPr>
        <w:pStyle w:val="TM2"/>
        <w:tabs>
          <w:tab w:val="left" w:pos="880"/>
          <w:tab w:val="right" w:leader="dot" w:pos="9060"/>
        </w:tabs>
        <w:rPr>
          <w:rFonts w:asciiTheme="minorHAnsi" w:eastAsiaTheme="minorEastAsia" w:hAnsiTheme="minorHAnsi" w:cstheme="minorBidi"/>
          <w:noProof/>
        </w:rPr>
      </w:pPr>
      <w:hyperlink w:anchor="_Toc65595680" w:history="1">
        <w:r w:rsidRPr="00AC6D6B">
          <w:rPr>
            <w:rStyle w:val="Lienhypertexte"/>
            <w:rFonts w:ascii="Arial" w:hAnsi="Arial"/>
            <w:b/>
            <w:noProof/>
          </w:rPr>
          <w:t>1.4.</w:t>
        </w:r>
        <w:r>
          <w:rPr>
            <w:rFonts w:asciiTheme="minorHAnsi" w:eastAsiaTheme="minorEastAsia" w:hAnsiTheme="minorHAnsi" w:cstheme="minorBidi"/>
            <w:noProof/>
          </w:rPr>
          <w:tab/>
        </w:r>
        <w:r w:rsidRPr="00AC6D6B">
          <w:rPr>
            <w:rStyle w:val="Lienhypertexte"/>
            <w:rFonts w:ascii="Arial" w:hAnsi="Arial" w:cs="Arial"/>
            <w:b/>
            <w:noProof/>
          </w:rPr>
          <w:t>Volet 3 : « Connaissance des espèces halieutiques et amélioration des diagnostics pour une exploitation au RMD »</w:t>
        </w:r>
        <w:r>
          <w:rPr>
            <w:noProof/>
            <w:webHidden/>
          </w:rPr>
          <w:tab/>
        </w:r>
        <w:r>
          <w:rPr>
            <w:noProof/>
            <w:webHidden/>
          </w:rPr>
          <w:fldChar w:fldCharType="begin"/>
        </w:r>
        <w:r>
          <w:rPr>
            <w:noProof/>
            <w:webHidden/>
          </w:rPr>
          <w:instrText xml:space="preserve"> PAGEREF _Toc65595680 \h </w:instrText>
        </w:r>
        <w:r>
          <w:rPr>
            <w:noProof/>
            <w:webHidden/>
          </w:rPr>
        </w:r>
        <w:r>
          <w:rPr>
            <w:noProof/>
            <w:webHidden/>
          </w:rPr>
          <w:fldChar w:fldCharType="separate"/>
        </w:r>
        <w:r>
          <w:rPr>
            <w:noProof/>
            <w:webHidden/>
          </w:rPr>
          <w:t>4</w:t>
        </w:r>
        <w:r>
          <w:rPr>
            <w:noProof/>
            <w:webHidden/>
          </w:rPr>
          <w:fldChar w:fldCharType="end"/>
        </w:r>
      </w:hyperlink>
    </w:p>
    <w:p w14:paraId="66CF5CAD" w14:textId="05C05660" w:rsidR="009B6183" w:rsidRDefault="009B6183">
      <w:pPr>
        <w:pStyle w:val="TM2"/>
        <w:tabs>
          <w:tab w:val="left" w:pos="880"/>
          <w:tab w:val="right" w:leader="dot" w:pos="9060"/>
        </w:tabs>
        <w:rPr>
          <w:rFonts w:asciiTheme="minorHAnsi" w:eastAsiaTheme="minorEastAsia" w:hAnsiTheme="minorHAnsi" w:cstheme="minorBidi"/>
          <w:noProof/>
        </w:rPr>
      </w:pPr>
      <w:hyperlink w:anchor="_Toc65595681" w:history="1">
        <w:r w:rsidRPr="00AC6D6B">
          <w:rPr>
            <w:rStyle w:val="Lienhypertexte"/>
            <w:rFonts w:ascii="Arial" w:hAnsi="Arial"/>
            <w:b/>
            <w:noProof/>
          </w:rPr>
          <w:t>1.5.</w:t>
        </w:r>
        <w:r>
          <w:rPr>
            <w:rFonts w:asciiTheme="minorHAnsi" w:eastAsiaTheme="minorEastAsia" w:hAnsiTheme="minorHAnsi" w:cstheme="minorBidi"/>
            <w:noProof/>
          </w:rPr>
          <w:tab/>
        </w:r>
        <w:r w:rsidRPr="00AC6D6B">
          <w:rPr>
            <w:rStyle w:val="Lienhypertexte"/>
            <w:rFonts w:ascii="Arial" w:hAnsi="Arial" w:cs="Arial"/>
            <w:b/>
            <w:noProof/>
          </w:rPr>
          <w:t>Volet 4 : « Diffusion des résultats »</w:t>
        </w:r>
        <w:r>
          <w:rPr>
            <w:noProof/>
            <w:webHidden/>
          </w:rPr>
          <w:tab/>
        </w:r>
        <w:r>
          <w:rPr>
            <w:noProof/>
            <w:webHidden/>
          </w:rPr>
          <w:fldChar w:fldCharType="begin"/>
        </w:r>
        <w:r>
          <w:rPr>
            <w:noProof/>
            <w:webHidden/>
          </w:rPr>
          <w:instrText xml:space="preserve"> PAGEREF _Toc65595681 \h </w:instrText>
        </w:r>
        <w:r>
          <w:rPr>
            <w:noProof/>
            <w:webHidden/>
          </w:rPr>
        </w:r>
        <w:r>
          <w:rPr>
            <w:noProof/>
            <w:webHidden/>
          </w:rPr>
          <w:fldChar w:fldCharType="separate"/>
        </w:r>
        <w:r>
          <w:rPr>
            <w:noProof/>
            <w:webHidden/>
          </w:rPr>
          <w:t>5</w:t>
        </w:r>
        <w:r>
          <w:rPr>
            <w:noProof/>
            <w:webHidden/>
          </w:rPr>
          <w:fldChar w:fldCharType="end"/>
        </w:r>
      </w:hyperlink>
    </w:p>
    <w:p w14:paraId="3C233C47" w14:textId="277489D5" w:rsidR="009B6183" w:rsidRDefault="009B6183">
      <w:pPr>
        <w:pStyle w:val="TM1"/>
        <w:tabs>
          <w:tab w:val="left" w:pos="440"/>
          <w:tab w:val="right" w:leader="dot" w:pos="9060"/>
        </w:tabs>
        <w:rPr>
          <w:rFonts w:asciiTheme="minorHAnsi" w:eastAsiaTheme="minorEastAsia" w:hAnsiTheme="minorHAnsi" w:cstheme="minorBidi"/>
          <w:noProof/>
        </w:rPr>
      </w:pPr>
      <w:hyperlink w:anchor="_Toc65595682" w:history="1">
        <w:r w:rsidRPr="00AC6D6B">
          <w:rPr>
            <w:rStyle w:val="Lienhypertexte"/>
            <w:rFonts w:ascii="Arial" w:hAnsi="Arial"/>
            <w:b/>
            <w:noProof/>
          </w:rPr>
          <w:t>2.</w:t>
        </w:r>
        <w:r>
          <w:rPr>
            <w:rFonts w:asciiTheme="minorHAnsi" w:eastAsiaTheme="minorEastAsia" w:hAnsiTheme="minorHAnsi" w:cstheme="minorBidi"/>
            <w:noProof/>
          </w:rPr>
          <w:tab/>
        </w:r>
        <w:r w:rsidRPr="00AC6D6B">
          <w:rPr>
            <w:rStyle w:val="Lienhypertexte"/>
            <w:rFonts w:ascii="Arial" w:hAnsi="Arial" w:cs="Arial"/>
            <w:b/>
            <w:noProof/>
          </w:rPr>
          <w:t>Conditions d’éligibilité</w:t>
        </w:r>
        <w:r>
          <w:rPr>
            <w:noProof/>
            <w:webHidden/>
          </w:rPr>
          <w:tab/>
        </w:r>
        <w:r>
          <w:rPr>
            <w:noProof/>
            <w:webHidden/>
          </w:rPr>
          <w:fldChar w:fldCharType="begin"/>
        </w:r>
        <w:r>
          <w:rPr>
            <w:noProof/>
            <w:webHidden/>
          </w:rPr>
          <w:instrText xml:space="preserve"> PAGEREF _Toc65595682 \h </w:instrText>
        </w:r>
        <w:r>
          <w:rPr>
            <w:noProof/>
            <w:webHidden/>
          </w:rPr>
        </w:r>
        <w:r>
          <w:rPr>
            <w:noProof/>
            <w:webHidden/>
          </w:rPr>
          <w:fldChar w:fldCharType="separate"/>
        </w:r>
        <w:r>
          <w:rPr>
            <w:noProof/>
            <w:webHidden/>
          </w:rPr>
          <w:t>5</w:t>
        </w:r>
        <w:r>
          <w:rPr>
            <w:noProof/>
            <w:webHidden/>
          </w:rPr>
          <w:fldChar w:fldCharType="end"/>
        </w:r>
      </w:hyperlink>
    </w:p>
    <w:p w14:paraId="2ECC4B0F" w14:textId="59A5DEBD" w:rsidR="009B6183" w:rsidRDefault="009B6183">
      <w:pPr>
        <w:pStyle w:val="TM2"/>
        <w:tabs>
          <w:tab w:val="left" w:pos="880"/>
          <w:tab w:val="right" w:leader="dot" w:pos="9060"/>
        </w:tabs>
        <w:rPr>
          <w:rFonts w:asciiTheme="minorHAnsi" w:eastAsiaTheme="minorEastAsia" w:hAnsiTheme="minorHAnsi" w:cstheme="minorBidi"/>
          <w:noProof/>
        </w:rPr>
      </w:pPr>
      <w:hyperlink w:anchor="_Toc65595683" w:history="1">
        <w:r w:rsidRPr="00AC6D6B">
          <w:rPr>
            <w:rStyle w:val="Lienhypertexte"/>
            <w:rFonts w:ascii="Arial" w:hAnsi="Arial"/>
            <w:b/>
            <w:noProof/>
          </w:rPr>
          <w:t>2.1.</w:t>
        </w:r>
        <w:r>
          <w:rPr>
            <w:rFonts w:asciiTheme="minorHAnsi" w:eastAsiaTheme="minorEastAsia" w:hAnsiTheme="minorHAnsi" w:cstheme="minorBidi"/>
            <w:noProof/>
          </w:rPr>
          <w:tab/>
        </w:r>
        <w:r w:rsidRPr="00AC6D6B">
          <w:rPr>
            <w:rStyle w:val="Lienhypertexte"/>
            <w:rFonts w:ascii="Arial" w:hAnsi="Arial" w:cs="Arial"/>
            <w:b/>
            <w:noProof/>
          </w:rPr>
          <w:t>Conditions d’éligibilité portant sur les bénéficiaires</w:t>
        </w:r>
        <w:r>
          <w:rPr>
            <w:noProof/>
            <w:webHidden/>
          </w:rPr>
          <w:tab/>
        </w:r>
        <w:r>
          <w:rPr>
            <w:noProof/>
            <w:webHidden/>
          </w:rPr>
          <w:fldChar w:fldCharType="begin"/>
        </w:r>
        <w:r>
          <w:rPr>
            <w:noProof/>
            <w:webHidden/>
          </w:rPr>
          <w:instrText xml:space="preserve"> PAGEREF _Toc65595683 \h </w:instrText>
        </w:r>
        <w:r>
          <w:rPr>
            <w:noProof/>
            <w:webHidden/>
          </w:rPr>
        </w:r>
        <w:r>
          <w:rPr>
            <w:noProof/>
            <w:webHidden/>
          </w:rPr>
          <w:fldChar w:fldCharType="separate"/>
        </w:r>
        <w:r>
          <w:rPr>
            <w:noProof/>
            <w:webHidden/>
          </w:rPr>
          <w:t>5</w:t>
        </w:r>
        <w:r>
          <w:rPr>
            <w:noProof/>
            <w:webHidden/>
          </w:rPr>
          <w:fldChar w:fldCharType="end"/>
        </w:r>
      </w:hyperlink>
    </w:p>
    <w:p w14:paraId="6E683B10" w14:textId="130B6427" w:rsidR="009B6183" w:rsidRDefault="009B6183">
      <w:pPr>
        <w:pStyle w:val="TM2"/>
        <w:tabs>
          <w:tab w:val="left" w:pos="880"/>
          <w:tab w:val="right" w:leader="dot" w:pos="9060"/>
        </w:tabs>
        <w:rPr>
          <w:rFonts w:asciiTheme="minorHAnsi" w:eastAsiaTheme="minorEastAsia" w:hAnsiTheme="minorHAnsi" w:cstheme="minorBidi"/>
          <w:noProof/>
        </w:rPr>
      </w:pPr>
      <w:hyperlink w:anchor="_Toc65595684" w:history="1">
        <w:r w:rsidRPr="00AC6D6B">
          <w:rPr>
            <w:rStyle w:val="Lienhypertexte"/>
            <w:rFonts w:ascii="Arial" w:hAnsi="Arial"/>
            <w:b/>
            <w:noProof/>
          </w:rPr>
          <w:t>2.2.</w:t>
        </w:r>
        <w:r>
          <w:rPr>
            <w:rFonts w:asciiTheme="minorHAnsi" w:eastAsiaTheme="minorEastAsia" w:hAnsiTheme="minorHAnsi" w:cstheme="minorBidi"/>
            <w:noProof/>
          </w:rPr>
          <w:tab/>
        </w:r>
        <w:r w:rsidRPr="00AC6D6B">
          <w:rPr>
            <w:rStyle w:val="Lienhypertexte"/>
            <w:rFonts w:ascii="Arial" w:hAnsi="Arial" w:cs="Arial"/>
            <w:b/>
            <w:noProof/>
          </w:rPr>
          <w:t>Conditions d’éligibilité portant sur les projets</w:t>
        </w:r>
        <w:r>
          <w:rPr>
            <w:noProof/>
            <w:webHidden/>
          </w:rPr>
          <w:tab/>
        </w:r>
        <w:r>
          <w:rPr>
            <w:noProof/>
            <w:webHidden/>
          </w:rPr>
          <w:fldChar w:fldCharType="begin"/>
        </w:r>
        <w:r>
          <w:rPr>
            <w:noProof/>
            <w:webHidden/>
          </w:rPr>
          <w:instrText xml:space="preserve"> PAGEREF _Toc65595684 \h </w:instrText>
        </w:r>
        <w:r>
          <w:rPr>
            <w:noProof/>
            <w:webHidden/>
          </w:rPr>
        </w:r>
        <w:r>
          <w:rPr>
            <w:noProof/>
            <w:webHidden/>
          </w:rPr>
          <w:fldChar w:fldCharType="separate"/>
        </w:r>
        <w:r>
          <w:rPr>
            <w:noProof/>
            <w:webHidden/>
          </w:rPr>
          <w:t>5</w:t>
        </w:r>
        <w:r>
          <w:rPr>
            <w:noProof/>
            <w:webHidden/>
          </w:rPr>
          <w:fldChar w:fldCharType="end"/>
        </w:r>
      </w:hyperlink>
    </w:p>
    <w:p w14:paraId="2FAED2FE" w14:textId="2C9F73B7" w:rsidR="009B6183" w:rsidRDefault="009B6183">
      <w:pPr>
        <w:pStyle w:val="TM1"/>
        <w:tabs>
          <w:tab w:val="left" w:pos="440"/>
          <w:tab w:val="right" w:leader="dot" w:pos="9060"/>
        </w:tabs>
        <w:rPr>
          <w:rFonts w:asciiTheme="minorHAnsi" w:eastAsiaTheme="minorEastAsia" w:hAnsiTheme="minorHAnsi" w:cstheme="minorBidi"/>
          <w:noProof/>
        </w:rPr>
      </w:pPr>
      <w:hyperlink w:anchor="_Toc65595685" w:history="1">
        <w:r w:rsidRPr="00AC6D6B">
          <w:rPr>
            <w:rStyle w:val="Lienhypertexte"/>
            <w:rFonts w:ascii="Arial" w:hAnsi="Arial"/>
            <w:b/>
            <w:noProof/>
          </w:rPr>
          <w:t>3.</w:t>
        </w:r>
        <w:r>
          <w:rPr>
            <w:rFonts w:asciiTheme="minorHAnsi" w:eastAsiaTheme="minorEastAsia" w:hAnsiTheme="minorHAnsi" w:cstheme="minorBidi"/>
            <w:noProof/>
          </w:rPr>
          <w:tab/>
        </w:r>
        <w:r w:rsidRPr="00AC6D6B">
          <w:rPr>
            <w:rStyle w:val="Lienhypertexte"/>
            <w:rFonts w:ascii="Arial" w:hAnsi="Arial" w:cs="Arial"/>
            <w:b/>
            <w:noProof/>
          </w:rPr>
          <w:t>Critères de sélection</w:t>
        </w:r>
        <w:r>
          <w:rPr>
            <w:noProof/>
            <w:webHidden/>
          </w:rPr>
          <w:tab/>
        </w:r>
        <w:r>
          <w:rPr>
            <w:noProof/>
            <w:webHidden/>
          </w:rPr>
          <w:fldChar w:fldCharType="begin"/>
        </w:r>
        <w:r>
          <w:rPr>
            <w:noProof/>
            <w:webHidden/>
          </w:rPr>
          <w:instrText xml:space="preserve"> PAGEREF _Toc65595685 \h </w:instrText>
        </w:r>
        <w:r>
          <w:rPr>
            <w:noProof/>
            <w:webHidden/>
          </w:rPr>
        </w:r>
        <w:r>
          <w:rPr>
            <w:noProof/>
            <w:webHidden/>
          </w:rPr>
          <w:fldChar w:fldCharType="separate"/>
        </w:r>
        <w:r>
          <w:rPr>
            <w:noProof/>
            <w:webHidden/>
          </w:rPr>
          <w:t>7</w:t>
        </w:r>
        <w:r>
          <w:rPr>
            <w:noProof/>
            <w:webHidden/>
          </w:rPr>
          <w:fldChar w:fldCharType="end"/>
        </w:r>
      </w:hyperlink>
    </w:p>
    <w:p w14:paraId="60E12F9D" w14:textId="7F2BABFF" w:rsidR="009B6183" w:rsidRDefault="009B6183">
      <w:pPr>
        <w:pStyle w:val="TM1"/>
        <w:tabs>
          <w:tab w:val="left" w:pos="440"/>
          <w:tab w:val="right" w:leader="dot" w:pos="9060"/>
        </w:tabs>
        <w:rPr>
          <w:rFonts w:asciiTheme="minorHAnsi" w:eastAsiaTheme="minorEastAsia" w:hAnsiTheme="minorHAnsi" w:cstheme="minorBidi"/>
          <w:noProof/>
        </w:rPr>
      </w:pPr>
      <w:hyperlink w:anchor="_Toc65595686" w:history="1">
        <w:r w:rsidRPr="00AC6D6B">
          <w:rPr>
            <w:rStyle w:val="Lienhypertexte"/>
            <w:rFonts w:ascii="Arial" w:hAnsi="Arial"/>
            <w:b/>
            <w:noProof/>
          </w:rPr>
          <w:t>4.</w:t>
        </w:r>
        <w:r>
          <w:rPr>
            <w:rFonts w:asciiTheme="minorHAnsi" w:eastAsiaTheme="minorEastAsia" w:hAnsiTheme="minorHAnsi" w:cstheme="minorBidi"/>
            <w:noProof/>
          </w:rPr>
          <w:tab/>
        </w:r>
        <w:r w:rsidRPr="00AC6D6B">
          <w:rPr>
            <w:rStyle w:val="Lienhypertexte"/>
            <w:rFonts w:ascii="Arial" w:hAnsi="Arial" w:cs="Arial"/>
            <w:b/>
            <w:noProof/>
          </w:rPr>
          <w:t>Intensités d’aide publique et taux de cofinancement FEAMP</w:t>
        </w:r>
        <w:r>
          <w:rPr>
            <w:noProof/>
            <w:webHidden/>
          </w:rPr>
          <w:tab/>
        </w:r>
        <w:r>
          <w:rPr>
            <w:noProof/>
            <w:webHidden/>
          </w:rPr>
          <w:fldChar w:fldCharType="begin"/>
        </w:r>
        <w:r>
          <w:rPr>
            <w:noProof/>
            <w:webHidden/>
          </w:rPr>
          <w:instrText xml:space="preserve"> PAGEREF _Toc65595686 \h </w:instrText>
        </w:r>
        <w:r>
          <w:rPr>
            <w:noProof/>
            <w:webHidden/>
          </w:rPr>
        </w:r>
        <w:r>
          <w:rPr>
            <w:noProof/>
            <w:webHidden/>
          </w:rPr>
          <w:fldChar w:fldCharType="separate"/>
        </w:r>
        <w:r>
          <w:rPr>
            <w:noProof/>
            <w:webHidden/>
          </w:rPr>
          <w:t>7</w:t>
        </w:r>
        <w:r>
          <w:rPr>
            <w:noProof/>
            <w:webHidden/>
          </w:rPr>
          <w:fldChar w:fldCharType="end"/>
        </w:r>
      </w:hyperlink>
    </w:p>
    <w:p w14:paraId="39EC95F8" w14:textId="3FAD8960" w:rsidR="009B6183" w:rsidRDefault="009B6183">
      <w:pPr>
        <w:pStyle w:val="TM2"/>
        <w:tabs>
          <w:tab w:val="left" w:pos="880"/>
          <w:tab w:val="right" w:leader="dot" w:pos="9060"/>
        </w:tabs>
        <w:rPr>
          <w:rFonts w:asciiTheme="minorHAnsi" w:eastAsiaTheme="minorEastAsia" w:hAnsiTheme="minorHAnsi" w:cstheme="minorBidi"/>
          <w:noProof/>
        </w:rPr>
      </w:pPr>
      <w:hyperlink w:anchor="_Toc65595687" w:history="1">
        <w:r w:rsidRPr="00AC6D6B">
          <w:rPr>
            <w:rStyle w:val="Lienhypertexte"/>
            <w:rFonts w:ascii="Arial" w:hAnsi="Arial"/>
            <w:b/>
            <w:noProof/>
          </w:rPr>
          <w:t>4.1.</w:t>
        </w:r>
        <w:r>
          <w:rPr>
            <w:rFonts w:asciiTheme="minorHAnsi" w:eastAsiaTheme="minorEastAsia" w:hAnsiTheme="minorHAnsi" w:cstheme="minorBidi"/>
            <w:noProof/>
          </w:rPr>
          <w:tab/>
        </w:r>
        <w:r w:rsidRPr="00AC6D6B">
          <w:rPr>
            <w:rStyle w:val="Lienhypertexte"/>
            <w:rFonts w:ascii="Arial" w:hAnsi="Arial" w:cs="Arial"/>
            <w:b/>
            <w:noProof/>
          </w:rPr>
          <w:t>Intensité d’aides publiques</w:t>
        </w:r>
        <w:r>
          <w:rPr>
            <w:noProof/>
            <w:webHidden/>
          </w:rPr>
          <w:tab/>
        </w:r>
        <w:r>
          <w:rPr>
            <w:noProof/>
            <w:webHidden/>
          </w:rPr>
          <w:fldChar w:fldCharType="begin"/>
        </w:r>
        <w:r>
          <w:rPr>
            <w:noProof/>
            <w:webHidden/>
          </w:rPr>
          <w:instrText xml:space="preserve"> PAGEREF _Toc65595687 \h </w:instrText>
        </w:r>
        <w:r>
          <w:rPr>
            <w:noProof/>
            <w:webHidden/>
          </w:rPr>
        </w:r>
        <w:r>
          <w:rPr>
            <w:noProof/>
            <w:webHidden/>
          </w:rPr>
          <w:fldChar w:fldCharType="separate"/>
        </w:r>
        <w:r>
          <w:rPr>
            <w:noProof/>
            <w:webHidden/>
          </w:rPr>
          <w:t>7</w:t>
        </w:r>
        <w:r>
          <w:rPr>
            <w:noProof/>
            <w:webHidden/>
          </w:rPr>
          <w:fldChar w:fldCharType="end"/>
        </w:r>
      </w:hyperlink>
    </w:p>
    <w:p w14:paraId="44420F34" w14:textId="509A5AD6" w:rsidR="009B6183" w:rsidRDefault="009B6183">
      <w:pPr>
        <w:pStyle w:val="TM2"/>
        <w:tabs>
          <w:tab w:val="left" w:pos="880"/>
          <w:tab w:val="right" w:leader="dot" w:pos="9060"/>
        </w:tabs>
        <w:rPr>
          <w:rFonts w:asciiTheme="minorHAnsi" w:eastAsiaTheme="minorEastAsia" w:hAnsiTheme="minorHAnsi" w:cstheme="minorBidi"/>
          <w:noProof/>
        </w:rPr>
      </w:pPr>
      <w:hyperlink w:anchor="_Toc65595688" w:history="1">
        <w:r w:rsidRPr="00AC6D6B">
          <w:rPr>
            <w:rStyle w:val="Lienhypertexte"/>
            <w:rFonts w:ascii="Arial" w:hAnsi="Arial"/>
            <w:b/>
            <w:noProof/>
          </w:rPr>
          <w:t>4.2.</w:t>
        </w:r>
        <w:r>
          <w:rPr>
            <w:rFonts w:asciiTheme="minorHAnsi" w:eastAsiaTheme="minorEastAsia" w:hAnsiTheme="minorHAnsi" w:cstheme="minorBidi"/>
            <w:noProof/>
          </w:rPr>
          <w:tab/>
        </w:r>
        <w:r w:rsidRPr="00AC6D6B">
          <w:rPr>
            <w:rStyle w:val="Lienhypertexte"/>
            <w:rFonts w:ascii="Arial" w:hAnsi="Arial" w:cs="Arial"/>
            <w:b/>
            <w:noProof/>
          </w:rPr>
          <w:t>Taux de cofinancement FEAMP</w:t>
        </w:r>
        <w:r>
          <w:rPr>
            <w:noProof/>
            <w:webHidden/>
          </w:rPr>
          <w:tab/>
        </w:r>
        <w:r>
          <w:rPr>
            <w:noProof/>
            <w:webHidden/>
          </w:rPr>
          <w:fldChar w:fldCharType="begin"/>
        </w:r>
        <w:r>
          <w:rPr>
            <w:noProof/>
            <w:webHidden/>
          </w:rPr>
          <w:instrText xml:space="preserve"> PAGEREF _Toc65595688 \h </w:instrText>
        </w:r>
        <w:r>
          <w:rPr>
            <w:noProof/>
            <w:webHidden/>
          </w:rPr>
        </w:r>
        <w:r>
          <w:rPr>
            <w:noProof/>
            <w:webHidden/>
          </w:rPr>
          <w:fldChar w:fldCharType="separate"/>
        </w:r>
        <w:r>
          <w:rPr>
            <w:noProof/>
            <w:webHidden/>
          </w:rPr>
          <w:t>7</w:t>
        </w:r>
        <w:r>
          <w:rPr>
            <w:noProof/>
            <w:webHidden/>
          </w:rPr>
          <w:fldChar w:fldCharType="end"/>
        </w:r>
      </w:hyperlink>
    </w:p>
    <w:p w14:paraId="354E1C00" w14:textId="0ABF5A5F" w:rsidR="009B6183" w:rsidRDefault="009B6183">
      <w:pPr>
        <w:pStyle w:val="TM1"/>
        <w:tabs>
          <w:tab w:val="left" w:pos="440"/>
          <w:tab w:val="right" w:leader="dot" w:pos="9060"/>
        </w:tabs>
        <w:rPr>
          <w:rFonts w:asciiTheme="minorHAnsi" w:eastAsiaTheme="minorEastAsia" w:hAnsiTheme="minorHAnsi" w:cstheme="minorBidi"/>
          <w:noProof/>
        </w:rPr>
      </w:pPr>
      <w:hyperlink w:anchor="_Toc65595689" w:history="1">
        <w:r w:rsidRPr="00AC6D6B">
          <w:rPr>
            <w:rStyle w:val="Lienhypertexte"/>
            <w:rFonts w:ascii="Arial" w:hAnsi="Arial"/>
            <w:b/>
            <w:noProof/>
          </w:rPr>
          <w:t>5.</w:t>
        </w:r>
        <w:r>
          <w:rPr>
            <w:rFonts w:asciiTheme="minorHAnsi" w:eastAsiaTheme="minorEastAsia" w:hAnsiTheme="minorHAnsi" w:cstheme="minorBidi"/>
            <w:noProof/>
          </w:rPr>
          <w:tab/>
        </w:r>
        <w:r w:rsidRPr="00AC6D6B">
          <w:rPr>
            <w:rStyle w:val="Lienhypertexte"/>
            <w:rFonts w:ascii="Arial" w:hAnsi="Arial" w:cs="Arial"/>
            <w:b/>
            <w:noProof/>
          </w:rPr>
          <w:t>Principales contreparties publiques nationales</w:t>
        </w:r>
        <w:r>
          <w:rPr>
            <w:noProof/>
            <w:webHidden/>
          </w:rPr>
          <w:tab/>
        </w:r>
        <w:r>
          <w:rPr>
            <w:noProof/>
            <w:webHidden/>
          </w:rPr>
          <w:fldChar w:fldCharType="begin"/>
        </w:r>
        <w:r>
          <w:rPr>
            <w:noProof/>
            <w:webHidden/>
          </w:rPr>
          <w:instrText xml:space="preserve"> PAGEREF _Toc65595689 \h </w:instrText>
        </w:r>
        <w:r>
          <w:rPr>
            <w:noProof/>
            <w:webHidden/>
          </w:rPr>
        </w:r>
        <w:r>
          <w:rPr>
            <w:noProof/>
            <w:webHidden/>
          </w:rPr>
          <w:fldChar w:fldCharType="separate"/>
        </w:r>
        <w:r>
          <w:rPr>
            <w:noProof/>
            <w:webHidden/>
          </w:rPr>
          <w:t>7</w:t>
        </w:r>
        <w:r>
          <w:rPr>
            <w:noProof/>
            <w:webHidden/>
          </w:rPr>
          <w:fldChar w:fldCharType="end"/>
        </w:r>
      </w:hyperlink>
    </w:p>
    <w:p w14:paraId="10950B3D" w14:textId="4F3C378C" w:rsidR="009B6183" w:rsidRDefault="009B6183">
      <w:pPr>
        <w:pStyle w:val="TM1"/>
        <w:tabs>
          <w:tab w:val="left" w:pos="440"/>
          <w:tab w:val="right" w:leader="dot" w:pos="9060"/>
        </w:tabs>
        <w:rPr>
          <w:rFonts w:asciiTheme="minorHAnsi" w:eastAsiaTheme="minorEastAsia" w:hAnsiTheme="minorHAnsi" w:cstheme="minorBidi"/>
          <w:noProof/>
        </w:rPr>
      </w:pPr>
      <w:hyperlink w:anchor="_Toc65595690" w:history="1">
        <w:r w:rsidRPr="00AC6D6B">
          <w:rPr>
            <w:rStyle w:val="Lienhypertexte"/>
            <w:rFonts w:ascii="Arial" w:hAnsi="Arial"/>
            <w:b/>
            <w:noProof/>
          </w:rPr>
          <w:t>6.</w:t>
        </w:r>
        <w:r>
          <w:rPr>
            <w:rFonts w:asciiTheme="minorHAnsi" w:eastAsiaTheme="minorEastAsia" w:hAnsiTheme="minorHAnsi" w:cstheme="minorBidi"/>
            <w:noProof/>
          </w:rPr>
          <w:tab/>
        </w:r>
        <w:r w:rsidRPr="00AC6D6B">
          <w:rPr>
            <w:rStyle w:val="Lienhypertexte"/>
            <w:rFonts w:ascii="Arial" w:hAnsi="Arial" w:cs="Arial"/>
            <w:b/>
            <w:noProof/>
          </w:rPr>
          <w:t>Calendrier prévisionnel</w:t>
        </w:r>
        <w:r>
          <w:rPr>
            <w:noProof/>
            <w:webHidden/>
          </w:rPr>
          <w:tab/>
        </w:r>
        <w:r>
          <w:rPr>
            <w:noProof/>
            <w:webHidden/>
          </w:rPr>
          <w:fldChar w:fldCharType="begin"/>
        </w:r>
        <w:r>
          <w:rPr>
            <w:noProof/>
            <w:webHidden/>
          </w:rPr>
          <w:instrText xml:space="preserve"> PAGEREF _Toc65595690 \h </w:instrText>
        </w:r>
        <w:r>
          <w:rPr>
            <w:noProof/>
            <w:webHidden/>
          </w:rPr>
        </w:r>
        <w:r>
          <w:rPr>
            <w:noProof/>
            <w:webHidden/>
          </w:rPr>
          <w:fldChar w:fldCharType="separate"/>
        </w:r>
        <w:r>
          <w:rPr>
            <w:noProof/>
            <w:webHidden/>
          </w:rPr>
          <w:t>8</w:t>
        </w:r>
        <w:r>
          <w:rPr>
            <w:noProof/>
            <w:webHidden/>
          </w:rPr>
          <w:fldChar w:fldCharType="end"/>
        </w:r>
      </w:hyperlink>
    </w:p>
    <w:p w14:paraId="40DCD177" w14:textId="30898F2A" w:rsidR="009B6183" w:rsidRDefault="009B6183">
      <w:pPr>
        <w:pStyle w:val="TM1"/>
        <w:tabs>
          <w:tab w:val="left" w:pos="440"/>
          <w:tab w:val="right" w:leader="dot" w:pos="9060"/>
        </w:tabs>
        <w:rPr>
          <w:rFonts w:asciiTheme="minorHAnsi" w:eastAsiaTheme="minorEastAsia" w:hAnsiTheme="minorHAnsi" w:cstheme="minorBidi"/>
          <w:noProof/>
        </w:rPr>
      </w:pPr>
      <w:hyperlink w:anchor="_Toc65595691" w:history="1">
        <w:r w:rsidRPr="00AC6D6B">
          <w:rPr>
            <w:rStyle w:val="Lienhypertexte"/>
            <w:rFonts w:ascii="Arial" w:hAnsi="Arial"/>
            <w:b/>
            <w:noProof/>
          </w:rPr>
          <w:t>7.</w:t>
        </w:r>
        <w:r>
          <w:rPr>
            <w:rFonts w:asciiTheme="minorHAnsi" w:eastAsiaTheme="minorEastAsia" w:hAnsiTheme="minorHAnsi" w:cstheme="minorBidi"/>
            <w:noProof/>
          </w:rPr>
          <w:tab/>
        </w:r>
        <w:r w:rsidRPr="00AC6D6B">
          <w:rPr>
            <w:rStyle w:val="Lienhypertexte"/>
            <w:rFonts w:ascii="Arial" w:hAnsi="Arial" w:cs="Arial"/>
            <w:b/>
            <w:noProof/>
          </w:rPr>
          <w:t>Composition des dossiers</w:t>
        </w:r>
        <w:r>
          <w:rPr>
            <w:noProof/>
            <w:webHidden/>
          </w:rPr>
          <w:tab/>
        </w:r>
        <w:r>
          <w:rPr>
            <w:noProof/>
            <w:webHidden/>
          </w:rPr>
          <w:fldChar w:fldCharType="begin"/>
        </w:r>
        <w:r>
          <w:rPr>
            <w:noProof/>
            <w:webHidden/>
          </w:rPr>
          <w:instrText xml:space="preserve"> PAGEREF _Toc65595691 \h </w:instrText>
        </w:r>
        <w:r>
          <w:rPr>
            <w:noProof/>
            <w:webHidden/>
          </w:rPr>
        </w:r>
        <w:r>
          <w:rPr>
            <w:noProof/>
            <w:webHidden/>
          </w:rPr>
          <w:fldChar w:fldCharType="separate"/>
        </w:r>
        <w:r>
          <w:rPr>
            <w:noProof/>
            <w:webHidden/>
          </w:rPr>
          <w:t>8</w:t>
        </w:r>
        <w:r>
          <w:rPr>
            <w:noProof/>
            <w:webHidden/>
          </w:rPr>
          <w:fldChar w:fldCharType="end"/>
        </w:r>
      </w:hyperlink>
    </w:p>
    <w:p w14:paraId="76561352" w14:textId="02FE1BA6" w:rsidR="00FC12B5" w:rsidRPr="001141A4" w:rsidRDefault="000D04CE">
      <w:pPr>
        <w:rPr>
          <w:rFonts w:ascii="Arial" w:hAnsi="Arial" w:cs="Arial"/>
          <w:b/>
          <w:color w:val="31849B"/>
          <w:sz w:val="28"/>
          <w:szCs w:val="28"/>
        </w:rPr>
      </w:pPr>
      <w:r w:rsidRPr="001141A4">
        <w:rPr>
          <w:rFonts w:ascii="Arial" w:hAnsi="Arial" w:cs="Arial"/>
          <w:b/>
          <w:color w:val="31849B"/>
          <w:sz w:val="28"/>
          <w:szCs w:val="28"/>
        </w:rPr>
        <w:fldChar w:fldCharType="end"/>
      </w:r>
      <w:r w:rsidR="00FC12B5" w:rsidRPr="001141A4">
        <w:rPr>
          <w:rFonts w:ascii="Arial" w:hAnsi="Arial" w:cs="Arial"/>
          <w:b/>
          <w:color w:val="31849B"/>
          <w:sz w:val="28"/>
          <w:szCs w:val="28"/>
        </w:rPr>
        <w:br w:type="page"/>
      </w:r>
    </w:p>
    <w:p w14:paraId="5F30376F"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0" w:name="_Toc65595676"/>
      <w:r w:rsidRPr="001141A4">
        <w:rPr>
          <w:rFonts w:ascii="Arial" w:hAnsi="Arial" w:cs="Arial"/>
          <w:b/>
          <w:color w:val="31849B"/>
          <w:sz w:val="28"/>
          <w:szCs w:val="28"/>
        </w:rPr>
        <w:lastRenderedPageBreak/>
        <w:t>Objectifs et volets de l’appel à projets</w:t>
      </w:r>
      <w:bookmarkEnd w:id="0"/>
    </w:p>
    <w:p w14:paraId="57CB86E6" w14:textId="77777777" w:rsidR="00FC12B5" w:rsidRPr="001141A4" w:rsidRDefault="00FC12B5" w:rsidP="009F00A1">
      <w:pPr>
        <w:pStyle w:val="Paragraphedeliste"/>
        <w:numPr>
          <w:ilvl w:val="1"/>
          <w:numId w:val="1"/>
        </w:numPr>
        <w:spacing w:before="240" w:after="240" w:line="240" w:lineRule="auto"/>
        <w:ind w:left="1077"/>
        <w:jc w:val="both"/>
        <w:outlineLvl w:val="1"/>
        <w:rPr>
          <w:rFonts w:ascii="Arial" w:hAnsi="Arial" w:cs="Arial"/>
          <w:b/>
        </w:rPr>
      </w:pPr>
      <w:bookmarkStart w:id="1" w:name="_Toc65595677"/>
      <w:r w:rsidRPr="001141A4">
        <w:rPr>
          <w:rFonts w:ascii="Arial" w:hAnsi="Arial" w:cs="Arial"/>
          <w:b/>
        </w:rPr>
        <w:t>Objectifs</w:t>
      </w:r>
      <w:bookmarkEnd w:id="1"/>
    </w:p>
    <w:p w14:paraId="3602FCC6" w14:textId="1BCD1AB6" w:rsidR="00FC12B5" w:rsidRPr="001141A4" w:rsidRDefault="00FC12B5" w:rsidP="001E4CA4">
      <w:pPr>
        <w:jc w:val="both"/>
        <w:rPr>
          <w:rFonts w:ascii="Arial" w:hAnsi="Arial" w:cs="Arial"/>
        </w:rPr>
      </w:pPr>
      <w:r w:rsidRPr="001141A4">
        <w:rPr>
          <w:rFonts w:ascii="Arial" w:hAnsi="Arial" w:cs="Arial"/>
        </w:rPr>
        <w:t>Le Fonds européen pour les affaires maritimes et la pêche (FEAMP) contribue à la stratégie Europe 2020 pour une croissance intelligente, durable et inclusive et à la mise en œuvre de la Politique Commune des</w:t>
      </w:r>
      <w:r w:rsidR="004C52F3">
        <w:rPr>
          <w:rFonts w:ascii="Arial" w:hAnsi="Arial" w:cs="Arial"/>
        </w:rPr>
        <w:t xml:space="preserve"> Pêches. La mesure 28 du FEAMP, </w:t>
      </w:r>
      <w:r w:rsidRPr="001141A4">
        <w:rPr>
          <w:rFonts w:ascii="Arial" w:hAnsi="Arial" w:cs="Arial"/>
        </w:rPr>
        <w:t>«</w:t>
      </w:r>
      <w:r w:rsidR="008261FD">
        <w:rPr>
          <w:rFonts w:ascii="Arial" w:hAnsi="Arial" w:cs="Arial"/>
        </w:rPr>
        <w:t xml:space="preserve"> </w:t>
      </w:r>
      <w:r w:rsidRPr="001141A4">
        <w:rPr>
          <w:rFonts w:ascii="Arial" w:hAnsi="Arial" w:cs="Arial"/>
        </w:rPr>
        <w:t xml:space="preserve">Partenariats entre scientifiques et </w:t>
      </w:r>
      <w:proofErr w:type="gramStart"/>
      <w:r w:rsidRPr="001141A4">
        <w:rPr>
          <w:rFonts w:ascii="Arial" w:hAnsi="Arial" w:cs="Arial"/>
        </w:rPr>
        <w:t>pêcheurs»</w:t>
      </w:r>
      <w:proofErr w:type="gramEnd"/>
      <w:r w:rsidRPr="001141A4">
        <w:rPr>
          <w:rFonts w:ascii="Arial" w:hAnsi="Arial" w:cs="Arial"/>
        </w:rPr>
        <w:t xml:space="preserve">, est rattachée à la priorité 1 de l’Union : « promotion d’une pêche durable sur le plan environnemental, efficace dans l’utilisation des ressources, innovante, compétitive et fondée sur la connaissance » et à l’objectif spécifique 1.5 « fourniture d’un soutien au renforcement du développement technologique, de l’innovation, y compris l’augmentation de l’efficacité énergétique, et du transfert des connaissances ». </w:t>
      </w:r>
    </w:p>
    <w:p w14:paraId="2BA7FBE4" w14:textId="77777777" w:rsidR="00FC12B5" w:rsidRPr="001141A4" w:rsidRDefault="00FC12B5" w:rsidP="001E4CA4">
      <w:pPr>
        <w:jc w:val="both"/>
        <w:rPr>
          <w:rFonts w:ascii="Arial" w:hAnsi="Arial" w:cs="Arial"/>
        </w:rPr>
      </w:pPr>
      <w:r w:rsidRPr="001141A4">
        <w:rPr>
          <w:rFonts w:ascii="Arial" w:hAnsi="Arial" w:cs="Arial"/>
        </w:rPr>
        <w:t xml:space="preserve">L’amélioration des connaissances sur l’état de certains stocks et sur les activités de certaines pêcheries passe par une collaboration renforcée entre les scientifiques et les pêcheurs. Le FEAMP est donc mobilisé </w:t>
      </w:r>
      <w:r w:rsidRPr="001141A4">
        <w:rPr>
          <w:rFonts w:ascii="Arial" w:hAnsi="Arial" w:cs="Arial"/>
          <w:bCs/>
        </w:rPr>
        <w:t>pour améliorer la connaissance des ressources et des activités halieutiques</w:t>
      </w:r>
      <w:r w:rsidRPr="001141A4">
        <w:rPr>
          <w:rFonts w:ascii="Arial" w:hAnsi="Arial" w:cs="Arial"/>
        </w:rPr>
        <w:t xml:space="preserve"> en renforçant les échanges et collaborations entre ces deux groupes d’acteurs</w:t>
      </w:r>
    </w:p>
    <w:p w14:paraId="66772A00" w14:textId="77777777" w:rsidR="00FC12B5" w:rsidRPr="001141A4" w:rsidRDefault="00FC12B5" w:rsidP="001E4CA4">
      <w:pPr>
        <w:jc w:val="both"/>
        <w:rPr>
          <w:rFonts w:ascii="Arial" w:hAnsi="Arial" w:cs="Arial"/>
        </w:rPr>
      </w:pPr>
      <w:r w:rsidRPr="001141A4">
        <w:rPr>
          <w:rFonts w:ascii="Arial" w:hAnsi="Arial" w:cs="Arial"/>
        </w:rPr>
        <w:t>La mesure 28 vise à soutenir des projets portant exclusivement sur les quatre volets suivants :</w:t>
      </w:r>
    </w:p>
    <w:p w14:paraId="0493297B" w14:textId="77777777" w:rsidR="00FC12B5" w:rsidRPr="001141A4" w:rsidRDefault="00FC12B5" w:rsidP="001E4CA4">
      <w:pPr>
        <w:numPr>
          <w:ilvl w:val="0"/>
          <w:numId w:val="16"/>
        </w:numPr>
        <w:jc w:val="both"/>
        <w:rPr>
          <w:rFonts w:ascii="Arial" w:hAnsi="Arial" w:cs="Arial"/>
        </w:rPr>
      </w:pPr>
      <w:r w:rsidRPr="001141A4">
        <w:rPr>
          <w:rFonts w:ascii="Arial" w:hAnsi="Arial" w:cs="Arial"/>
        </w:rPr>
        <w:t>Volet 1 : Suivi régulier de l’état des stocks halieutiques par des indices d’abondance.</w:t>
      </w:r>
    </w:p>
    <w:p w14:paraId="1CAB013E" w14:textId="77777777" w:rsidR="00FC12B5" w:rsidRPr="001141A4" w:rsidRDefault="00FC12B5" w:rsidP="001E4CA4">
      <w:pPr>
        <w:numPr>
          <w:ilvl w:val="0"/>
          <w:numId w:val="16"/>
        </w:numPr>
        <w:jc w:val="both"/>
        <w:rPr>
          <w:rFonts w:ascii="Arial" w:hAnsi="Arial" w:cs="Arial"/>
        </w:rPr>
      </w:pPr>
      <w:r w:rsidRPr="001141A4">
        <w:rPr>
          <w:rFonts w:ascii="Arial" w:hAnsi="Arial" w:cs="Arial"/>
        </w:rPr>
        <w:t>Volet 2 : Amélioration des connaissances des captures, des rejets et de l’effort de pêche.</w:t>
      </w:r>
    </w:p>
    <w:p w14:paraId="675B6BC8" w14:textId="77777777" w:rsidR="00FC12B5" w:rsidRPr="001141A4" w:rsidRDefault="00FC12B5" w:rsidP="001E4CA4">
      <w:pPr>
        <w:numPr>
          <w:ilvl w:val="0"/>
          <w:numId w:val="16"/>
        </w:numPr>
        <w:jc w:val="both"/>
        <w:rPr>
          <w:rFonts w:ascii="Arial" w:hAnsi="Arial" w:cs="Arial"/>
        </w:rPr>
      </w:pPr>
      <w:r w:rsidRPr="001141A4">
        <w:rPr>
          <w:rFonts w:ascii="Arial" w:hAnsi="Arial" w:cs="Arial"/>
        </w:rPr>
        <w:t>Volet 3 : Connaissance des espèces halieutiques et amélioration des diagnostics pour une exploitation au RMD.</w:t>
      </w:r>
    </w:p>
    <w:p w14:paraId="3942C3B4" w14:textId="77777777" w:rsidR="00FC12B5" w:rsidRPr="001141A4" w:rsidRDefault="00FC12B5" w:rsidP="001E4CA4">
      <w:pPr>
        <w:numPr>
          <w:ilvl w:val="0"/>
          <w:numId w:val="17"/>
        </w:numPr>
        <w:jc w:val="both"/>
        <w:rPr>
          <w:rFonts w:ascii="Arial" w:hAnsi="Arial" w:cs="Arial"/>
        </w:rPr>
      </w:pPr>
      <w:r w:rsidRPr="001141A4">
        <w:rPr>
          <w:rFonts w:ascii="Arial" w:hAnsi="Arial" w:cs="Arial"/>
        </w:rPr>
        <w:t xml:space="preserve">Volet 4 : Diffusion des résultats </w:t>
      </w:r>
    </w:p>
    <w:p w14:paraId="515AA762" w14:textId="77777777" w:rsidR="00FC12B5" w:rsidRPr="001141A4" w:rsidRDefault="00FC12B5" w:rsidP="009F00A1">
      <w:pPr>
        <w:pStyle w:val="Paragraphedeliste"/>
        <w:numPr>
          <w:ilvl w:val="1"/>
          <w:numId w:val="1"/>
        </w:numPr>
        <w:spacing w:before="240" w:after="240" w:line="240" w:lineRule="auto"/>
        <w:ind w:left="1077"/>
        <w:jc w:val="both"/>
        <w:outlineLvl w:val="1"/>
        <w:rPr>
          <w:rFonts w:ascii="Arial" w:hAnsi="Arial" w:cs="Arial"/>
          <w:b/>
        </w:rPr>
      </w:pPr>
      <w:bookmarkStart w:id="2" w:name="_Toc65595678"/>
      <w:r w:rsidRPr="001141A4">
        <w:rPr>
          <w:rFonts w:ascii="Arial" w:hAnsi="Arial" w:cs="Arial"/>
          <w:b/>
        </w:rPr>
        <w:t>Volet 1 : « Suivi régulier de l’état des stocks halieutiq</w:t>
      </w:r>
      <w:r w:rsidR="00476946" w:rsidRPr="001141A4">
        <w:rPr>
          <w:rFonts w:ascii="Arial" w:hAnsi="Arial" w:cs="Arial"/>
          <w:b/>
        </w:rPr>
        <w:t xml:space="preserve">ues par des indices d’abondance </w:t>
      </w:r>
      <w:r w:rsidRPr="001141A4">
        <w:rPr>
          <w:rFonts w:ascii="Arial" w:hAnsi="Arial" w:cs="Arial"/>
          <w:b/>
        </w:rPr>
        <w:t>»</w:t>
      </w:r>
      <w:bookmarkEnd w:id="2"/>
    </w:p>
    <w:p w14:paraId="1DD43006" w14:textId="77777777" w:rsidR="00FC12B5" w:rsidRPr="001141A4" w:rsidRDefault="00FC12B5" w:rsidP="0043043F">
      <w:pPr>
        <w:jc w:val="both"/>
        <w:rPr>
          <w:rFonts w:ascii="Arial" w:hAnsi="Arial" w:cs="Arial"/>
        </w:rPr>
      </w:pPr>
      <w:r w:rsidRPr="001141A4">
        <w:rPr>
          <w:rFonts w:ascii="Arial" w:hAnsi="Arial" w:cs="Arial"/>
        </w:rPr>
        <w:t>L’évaluation de l’état des stocks halieutiques peut être effectuée par la production d’indices d’abondance basés sur des campagnes scientifiques régulières. Cette procédure nécessite un échantillonnage standardisé par un protocole robuste et répétable. Le protocole renseigne la zone d’étude, le nombre et la position des stations, etc. Il couvre une partie significative de l’aire de répartition du stock à évaluer et permet de calculer des indices d’abondance qui peuvent être comparés au cours du temps. Ce protocole est indépendant de l’activité de pêche commerciale, néanmoins des navires de pêche peuvent être impliqués dans sa mise en œuvre.</w:t>
      </w:r>
    </w:p>
    <w:p w14:paraId="70430C5A" w14:textId="77777777" w:rsidR="00FC12B5" w:rsidRPr="001141A4" w:rsidRDefault="00FC12B5" w:rsidP="0043043F">
      <w:pPr>
        <w:jc w:val="both"/>
        <w:rPr>
          <w:rFonts w:ascii="Arial" w:hAnsi="Arial" w:cs="Arial"/>
        </w:rPr>
      </w:pPr>
    </w:p>
    <w:p w14:paraId="573DBF0C" w14:textId="77777777" w:rsidR="00FC12B5" w:rsidRPr="001141A4" w:rsidRDefault="00FC12B5" w:rsidP="0043043F">
      <w:pPr>
        <w:pBdr>
          <w:top w:val="single" w:sz="4" w:space="1" w:color="auto"/>
          <w:left w:val="single" w:sz="4" w:space="4" w:color="auto"/>
          <w:bottom w:val="single" w:sz="4" w:space="1" w:color="auto"/>
          <w:right w:val="single" w:sz="4" w:space="4" w:color="auto"/>
        </w:pBdr>
        <w:spacing w:before="57" w:after="57"/>
        <w:rPr>
          <w:i/>
          <w:szCs w:val="20"/>
        </w:rPr>
      </w:pPr>
      <w:r w:rsidRPr="001141A4">
        <w:rPr>
          <w:i/>
          <w:szCs w:val="20"/>
        </w:rPr>
        <w:t>Exemples de projets</w:t>
      </w:r>
    </w:p>
    <w:p w14:paraId="76D70DFE"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 xml:space="preserve">Campagne océanographique d’évaluation des stocks halieutiques réalisée par des navires de pêche, à condition qu’au moins un organisme scientifique </w:t>
      </w:r>
      <w:r w:rsidR="00CB435E" w:rsidRPr="001141A4">
        <w:rPr>
          <w:i/>
          <w:szCs w:val="20"/>
        </w:rPr>
        <w:t xml:space="preserve">ou centre technique </w:t>
      </w:r>
      <w:r w:rsidRPr="001141A4">
        <w:rPr>
          <w:i/>
          <w:szCs w:val="20"/>
        </w:rPr>
        <w:t>soit partenaire;</w:t>
      </w:r>
    </w:p>
    <w:p w14:paraId="3340B2EC"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Campagne océanographique d’évaluation des stocks halieutiques réalisée par des navires scientifiques, à condition qu’au moins une organisation professionnelle soit partenaire ;</w:t>
      </w:r>
    </w:p>
    <w:p w14:paraId="541CE611"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lastRenderedPageBreak/>
        <w:t>Campagne océanographique d’évaluation des stocks halieutiques réalisée conjointement par des navires scientifiques et des navires de pêche, à condition qu’au moins une organisation professionnelle et un organisme scientifique</w:t>
      </w:r>
      <w:r w:rsidR="0058396A" w:rsidRPr="001141A4">
        <w:rPr>
          <w:i/>
          <w:szCs w:val="20"/>
        </w:rPr>
        <w:t xml:space="preserve"> ou centre technique</w:t>
      </w:r>
      <w:r w:rsidRPr="001141A4">
        <w:rPr>
          <w:i/>
          <w:szCs w:val="20"/>
        </w:rPr>
        <w:t xml:space="preserve"> soit partenaire ;</w:t>
      </w:r>
    </w:p>
    <w:p w14:paraId="73B30E50" w14:textId="77777777" w:rsidR="00060F2F"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Evaluation de gisements de coquillages exploités par la pêche à pied professionnelle</w:t>
      </w:r>
      <w:r w:rsidR="00060F2F" w:rsidRPr="001141A4">
        <w:rPr>
          <w:i/>
          <w:szCs w:val="20"/>
        </w:rPr>
        <w:t> ;</w:t>
      </w:r>
    </w:p>
    <w:p w14:paraId="373901BC" w14:textId="77777777" w:rsidR="00FC12B5" w:rsidRPr="001141A4" w:rsidRDefault="00060F2F"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Suivi de l’abondance de populations d’algues sauvages exploitée par des professionnels agréés</w:t>
      </w:r>
      <w:r w:rsidR="00FC12B5" w:rsidRPr="001141A4">
        <w:rPr>
          <w:i/>
          <w:szCs w:val="20"/>
        </w:rPr>
        <w:t>.</w:t>
      </w:r>
    </w:p>
    <w:p w14:paraId="210447B7" w14:textId="77777777" w:rsidR="00FC12B5" w:rsidRPr="001141A4" w:rsidRDefault="00FC12B5" w:rsidP="001E4CA4">
      <w:pPr>
        <w:pStyle w:val="Paragraphedeliste"/>
        <w:numPr>
          <w:ilvl w:val="1"/>
          <w:numId w:val="1"/>
        </w:numPr>
        <w:spacing w:before="240" w:after="240" w:line="240" w:lineRule="auto"/>
        <w:ind w:left="1077"/>
        <w:jc w:val="both"/>
        <w:outlineLvl w:val="1"/>
        <w:rPr>
          <w:rFonts w:ascii="Arial" w:hAnsi="Arial" w:cs="Arial"/>
          <w:b/>
        </w:rPr>
      </w:pPr>
      <w:bookmarkStart w:id="3" w:name="_Toc65595679"/>
      <w:r w:rsidRPr="001141A4">
        <w:rPr>
          <w:rFonts w:ascii="Arial" w:hAnsi="Arial" w:cs="Arial"/>
          <w:b/>
        </w:rPr>
        <w:t xml:space="preserve">Volet 2 : </w:t>
      </w:r>
      <w:r w:rsidR="00476946" w:rsidRPr="001141A4">
        <w:rPr>
          <w:rFonts w:ascii="Arial" w:hAnsi="Arial" w:cs="Arial"/>
          <w:b/>
        </w:rPr>
        <w:t>« </w:t>
      </w:r>
      <w:r w:rsidRPr="001141A4">
        <w:rPr>
          <w:rFonts w:ascii="Arial" w:hAnsi="Arial" w:cs="Arial"/>
          <w:b/>
        </w:rPr>
        <w:t>Amélioration des connaissances des captures, des rejets et de l’effort de pêche</w:t>
      </w:r>
      <w:r w:rsidR="00476946" w:rsidRPr="001141A4">
        <w:rPr>
          <w:rFonts w:ascii="Arial" w:hAnsi="Arial" w:cs="Arial"/>
          <w:b/>
        </w:rPr>
        <w:t> »</w:t>
      </w:r>
      <w:bookmarkEnd w:id="3"/>
    </w:p>
    <w:p w14:paraId="3C3FF6B8" w14:textId="77777777" w:rsidR="00FC12B5" w:rsidRPr="001141A4" w:rsidRDefault="00FC12B5" w:rsidP="0043043F">
      <w:pPr>
        <w:jc w:val="both"/>
        <w:rPr>
          <w:rFonts w:ascii="Arial" w:hAnsi="Arial" w:cs="Arial"/>
        </w:rPr>
      </w:pPr>
      <w:r w:rsidRPr="001141A4">
        <w:rPr>
          <w:rFonts w:ascii="Arial" w:hAnsi="Arial" w:cs="Arial"/>
        </w:rPr>
        <w:t>Les obligations déclaratives, et les protocoles d’échantillonnage de la DCF qui concernent l’effort de pêche, les captures et les débarquements, sont dans certains cas insuffisamment détaillés pour permettre une bonne compréhension de la dynamique des activités de pêche et des ressources halieutiques. Ce volet contribue donc à une meilleure connaissance des captures, rejets et effort de pêche notamment dans le cadre de la mise en œuvre de l’obligation de débarquement. Il contribue aussi à une meilleure connaissance de la dimension spatiale des activités de pêche en particulier en favorisant les partenariats visant au développement d’indicateurs à différentes échelles spatiales (quartier maritime, départements, régions…). Le suivi des captures accidentelles d’espèces protégées n’est pas inclus dans ce volet, car il est réalisé dans le cadre de la mesure 77, qui met en œuvre la collecte des données (DCF). Ce volet inclut l’acquisition de données par enquêtes socio-économiques et auto-échantillonnage. Il n’exclut pas la pêche de loisir qui pour certaines espèces peut représenter une part très importante de l’effort de pêche (cf. bar</w:t>
      </w:r>
      <w:r w:rsidR="00060F2F" w:rsidRPr="001141A4">
        <w:rPr>
          <w:rFonts w:ascii="Arial" w:hAnsi="Arial" w:cs="Arial"/>
        </w:rPr>
        <w:t xml:space="preserve"> ou lieu jaune</w:t>
      </w:r>
      <w:r w:rsidRPr="001141A4">
        <w:rPr>
          <w:rFonts w:ascii="Arial" w:hAnsi="Arial" w:cs="Arial"/>
        </w:rPr>
        <w:t xml:space="preserve"> par exemple).</w:t>
      </w:r>
    </w:p>
    <w:p w14:paraId="7CE8D65E" w14:textId="77777777" w:rsidR="00FC12B5" w:rsidRPr="001141A4" w:rsidRDefault="00FC12B5" w:rsidP="0043043F">
      <w:pPr>
        <w:pBdr>
          <w:top w:val="single" w:sz="4" w:space="1" w:color="auto"/>
          <w:left w:val="single" w:sz="4" w:space="4" w:color="auto"/>
          <w:bottom w:val="single" w:sz="4" w:space="1" w:color="auto"/>
          <w:right w:val="single" w:sz="4" w:space="4" w:color="auto"/>
        </w:pBdr>
        <w:spacing w:before="57" w:after="57"/>
        <w:rPr>
          <w:i/>
          <w:szCs w:val="20"/>
        </w:rPr>
      </w:pPr>
      <w:r w:rsidRPr="001141A4">
        <w:rPr>
          <w:i/>
          <w:szCs w:val="20"/>
        </w:rPr>
        <w:t>Exemples de projets :</w:t>
      </w:r>
    </w:p>
    <w:p w14:paraId="0B74D913"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Mise en place de balises GPS sur des navires de pêche pour évaluer la distribution spatiale de l’effort de pêche et des captures ;</w:t>
      </w:r>
    </w:p>
    <w:p w14:paraId="1CB86A5F"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 xml:space="preserve">Mise en place de capteurs sur les engins de pêche pour décrire l’effort de pêche ; </w:t>
      </w:r>
    </w:p>
    <w:p w14:paraId="69D58864"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Installation d’équipements d’échantillonnage scientifique automatisé ;</w:t>
      </w:r>
    </w:p>
    <w:p w14:paraId="3FDE41EA"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Amélioration des méthodes de calcul des CPUE ;</w:t>
      </w:r>
    </w:p>
    <w:p w14:paraId="4C9382D4"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 xml:space="preserve">Echantillonnage et quantification des rejets en complément du programme </w:t>
      </w:r>
      <w:proofErr w:type="spellStart"/>
      <w:r w:rsidRPr="001141A4">
        <w:rPr>
          <w:i/>
          <w:szCs w:val="20"/>
        </w:rPr>
        <w:t>Obsmer</w:t>
      </w:r>
      <w:proofErr w:type="spellEnd"/>
      <w:r w:rsidRPr="001141A4">
        <w:rPr>
          <w:i/>
          <w:szCs w:val="20"/>
        </w:rPr>
        <w:t> ;</w:t>
      </w:r>
    </w:p>
    <w:p w14:paraId="520ECA2B"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 xml:space="preserve">Acquisition de données spatiales sur les pratiques de pêche ; </w:t>
      </w:r>
    </w:p>
    <w:p w14:paraId="1C6EB495"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Collecte de données liées à l’activité de pêche réalisée par un pêcheur au cours de sa marée (auto échantillonnage).</w:t>
      </w:r>
    </w:p>
    <w:p w14:paraId="5E126D40" w14:textId="77777777" w:rsidR="00FC12B5" w:rsidRPr="001141A4" w:rsidRDefault="00FC12B5" w:rsidP="001E4CA4">
      <w:pPr>
        <w:pStyle w:val="Paragraphedeliste"/>
        <w:numPr>
          <w:ilvl w:val="1"/>
          <w:numId w:val="1"/>
        </w:numPr>
        <w:spacing w:before="240" w:after="240" w:line="240" w:lineRule="auto"/>
        <w:ind w:left="1077"/>
        <w:jc w:val="both"/>
        <w:outlineLvl w:val="1"/>
        <w:rPr>
          <w:rFonts w:ascii="Arial" w:hAnsi="Arial" w:cs="Arial"/>
          <w:b/>
        </w:rPr>
      </w:pPr>
      <w:bookmarkStart w:id="4" w:name="_Toc65595680"/>
      <w:r w:rsidRPr="001141A4">
        <w:rPr>
          <w:rFonts w:ascii="Arial" w:hAnsi="Arial" w:cs="Arial"/>
          <w:b/>
        </w:rPr>
        <w:t>Volet 3 : « Connaissance des espèces halieutiques et amélioration des diagnosti</w:t>
      </w:r>
      <w:r w:rsidR="00476946" w:rsidRPr="001141A4">
        <w:rPr>
          <w:rFonts w:ascii="Arial" w:hAnsi="Arial" w:cs="Arial"/>
          <w:b/>
        </w:rPr>
        <w:t xml:space="preserve">cs pour une exploitation au RMD </w:t>
      </w:r>
      <w:r w:rsidRPr="001141A4">
        <w:rPr>
          <w:rFonts w:ascii="Arial" w:hAnsi="Arial" w:cs="Arial"/>
          <w:b/>
        </w:rPr>
        <w:t>»</w:t>
      </w:r>
      <w:bookmarkEnd w:id="4"/>
    </w:p>
    <w:p w14:paraId="03F62824" w14:textId="77777777" w:rsidR="00FC12B5" w:rsidRPr="001141A4" w:rsidRDefault="00FC12B5" w:rsidP="0043043F">
      <w:pPr>
        <w:jc w:val="both"/>
        <w:rPr>
          <w:rFonts w:ascii="Arial" w:hAnsi="Arial" w:cs="Arial"/>
        </w:rPr>
      </w:pPr>
      <w:r w:rsidRPr="001141A4">
        <w:rPr>
          <w:rFonts w:ascii="Arial" w:hAnsi="Arial" w:cs="Arial"/>
        </w:rPr>
        <w:t xml:space="preserve">L’exploitation des stocks halieutiques au rendement maximum durable (RMD) est un objectif prépondérant de la PCP. La détermination du RMD et l’évaluation de l’état des stocks par rapport à cette cible repose sur des modèles démographiques qui nécessitent de connaitre de nombreux paramètres du cycle de vie des espèces halieutiques. </w:t>
      </w:r>
    </w:p>
    <w:p w14:paraId="156E922C" w14:textId="77777777" w:rsidR="00FC12B5" w:rsidRPr="001141A4" w:rsidRDefault="00FC12B5" w:rsidP="0043043F">
      <w:pPr>
        <w:jc w:val="both"/>
        <w:rPr>
          <w:rFonts w:ascii="Arial" w:hAnsi="Arial" w:cs="Arial"/>
        </w:rPr>
      </w:pPr>
      <w:r w:rsidRPr="001141A4">
        <w:rPr>
          <w:rFonts w:ascii="Arial" w:hAnsi="Arial" w:cs="Arial"/>
        </w:rPr>
        <w:t>Ce volet participe donc à l’amélioration de la connaissance de ces paramètres : mortalité naturelle, relations stock-recrutement, taux de migration, crois</w:t>
      </w:r>
      <w:r w:rsidR="00AC6CCD" w:rsidRPr="001141A4">
        <w:rPr>
          <w:rFonts w:ascii="Arial" w:hAnsi="Arial" w:cs="Arial"/>
        </w:rPr>
        <w:t xml:space="preserve">sance, méthodes </w:t>
      </w:r>
      <w:proofErr w:type="gramStart"/>
      <w:r w:rsidR="00AC6CCD" w:rsidRPr="001141A4">
        <w:rPr>
          <w:rFonts w:ascii="Arial" w:hAnsi="Arial" w:cs="Arial"/>
        </w:rPr>
        <w:t>d’</w:t>
      </w:r>
      <w:proofErr w:type="spellStart"/>
      <w:r w:rsidR="00AC6CCD" w:rsidRPr="001141A4">
        <w:rPr>
          <w:rFonts w:ascii="Arial" w:hAnsi="Arial" w:cs="Arial"/>
        </w:rPr>
        <w:t>ageage</w:t>
      </w:r>
      <w:proofErr w:type="spellEnd"/>
      <w:r w:rsidR="00AC6CCD" w:rsidRPr="001141A4">
        <w:rPr>
          <w:rFonts w:ascii="Arial" w:hAnsi="Arial" w:cs="Arial"/>
        </w:rPr>
        <w:t>,  etc.</w:t>
      </w:r>
      <w:proofErr w:type="gramEnd"/>
      <w:r w:rsidR="00AC6CCD" w:rsidRPr="001141A4">
        <w:rPr>
          <w:rFonts w:ascii="Arial" w:hAnsi="Arial" w:cs="Arial"/>
        </w:rPr>
        <w:t>,</w:t>
      </w:r>
      <w:r w:rsidRPr="001141A4">
        <w:rPr>
          <w:rFonts w:ascii="Arial" w:hAnsi="Arial" w:cs="Arial"/>
        </w:rPr>
        <w:t xml:space="preserve"> afin d’améliorer les modèles d’évaluation des stocks.</w:t>
      </w:r>
    </w:p>
    <w:p w14:paraId="4DEA5216" w14:textId="77777777" w:rsidR="00FC12B5" w:rsidRPr="001141A4" w:rsidRDefault="00FC12B5" w:rsidP="0043043F">
      <w:pPr>
        <w:pBdr>
          <w:top w:val="single" w:sz="4" w:space="1" w:color="auto"/>
          <w:left w:val="single" w:sz="4" w:space="4" w:color="auto"/>
          <w:bottom w:val="single" w:sz="4" w:space="1" w:color="auto"/>
          <w:right w:val="single" w:sz="4" w:space="4" w:color="auto"/>
        </w:pBdr>
        <w:spacing w:before="57" w:after="57"/>
        <w:rPr>
          <w:i/>
          <w:szCs w:val="20"/>
        </w:rPr>
      </w:pPr>
      <w:r w:rsidRPr="001141A4">
        <w:rPr>
          <w:i/>
          <w:szCs w:val="20"/>
        </w:rPr>
        <w:t>Exemples de projets :</w:t>
      </w:r>
    </w:p>
    <w:p w14:paraId="315C075C"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Etudes de marquage d’individus ;</w:t>
      </w:r>
    </w:p>
    <w:p w14:paraId="32932772"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lastRenderedPageBreak/>
        <w:t>Etude de génétique des populations ;</w:t>
      </w:r>
    </w:p>
    <w:p w14:paraId="525CFDC8"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Prélèvements biologiques sur des espèces d’intérêt halieutique</w:t>
      </w:r>
    </w:p>
    <w:p w14:paraId="5480B26E"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Développement de mod</w:t>
      </w:r>
      <w:r w:rsidR="006745EC">
        <w:rPr>
          <w:i/>
          <w:szCs w:val="20"/>
        </w:rPr>
        <w:t>èles démographiques spécifiques</w:t>
      </w:r>
    </w:p>
    <w:p w14:paraId="6849F874" w14:textId="77777777" w:rsidR="00FC12B5" w:rsidRPr="001141A4" w:rsidRDefault="00FC12B5" w:rsidP="0043043F">
      <w:pPr>
        <w:numPr>
          <w:ilvl w:val="3"/>
          <w:numId w:val="11"/>
        </w:numPr>
        <w:pBdr>
          <w:top w:val="single" w:sz="4" w:space="1" w:color="auto"/>
          <w:left w:val="single" w:sz="4" w:space="4" w:color="auto"/>
          <w:bottom w:val="single" w:sz="4" w:space="1" w:color="auto"/>
          <w:right w:val="single" w:sz="4" w:space="4" w:color="auto"/>
        </w:pBdr>
        <w:tabs>
          <w:tab w:val="clear" w:pos="2880"/>
        </w:tabs>
        <w:suppressAutoHyphens/>
        <w:spacing w:before="57" w:after="57" w:line="240" w:lineRule="auto"/>
        <w:ind w:left="284" w:hanging="284"/>
        <w:jc w:val="both"/>
        <w:rPr>
          <w:i/>
          <w:szCs w:val="20"/>
        </w:rPr>
      </w:pPr>
      <w:r w:rsidRPr="001141A4">
        <w:rPr>
          <w:i/>
          <w:szCs w:val="20"/>
        </w:rPr>
        <w:t xml:space="preserve">Guide d’identification des espèces d’intérêt halieutique pour améliorer la qualité des données </w:t>
      </w:r>
    </w:p>
    <w:p w14:paraId="78CD79D1" w14:textId="77777777" w:rsidR="00FC12B5" w:rsidRPr="001141A4" w:rsidRDefault="00FC12B5" w:rsidP="001E4CA4">
      <w:pPr>
        <w:pStyle w:val="Paragraphedeliste"/>
        <w:numPr>
          <w:ilvl w:val="1"/>
          <w:numId w:val="1"/>
        </w:numPr>
        <w:spacing w:before="240" w:after="240" w:line="240" w:lineRule="auto"/>
        <w:ind w:left="1077"/>
        <w:jc w:val="both"/>
        <w:outlineLvl w:val="1"/>
        <w:rPr>
          <w:rFonts w:ascii="Arial" w:hAnsi="Arial" w:cs="Arial"/>
          <w:b/>
        </w:rPr>
      </w:pPr>
      <w:bookmarkStart w:id="5" w:name="_Toc65595681"/>
      <w:r w:rsidRPr="001141A4">
        <w:rPr>
          <w:rFonts w:ascii="Arial" w:hAnsi="Arial" w:cs="Arial"/>
          <w:b/>
        </w:rPr>
        <w:t>Volet 4 : « Diffusion des résultats »</w:t>
      </w:r>
      <w:bookmarkEnd w:id="5"/>
    </w:p>
    <w:p w14:paraId="7DC7348B" w14:textId="44F33DBD" w:rsidR="00FC12B5" w:rsidRPr="001141A4" w:rsidRDefault="00FC12B5" w:rsidP="001E428F">
      <w:pPr>
        <w:jc w:val="both"/>
        <w:rPr>
          <w:rFonts w:ascii="Arial" w:hAnsi="Arial" w:cs="Arial"/>
        </w:rPr>
      </w:pPr>
      <w:r w:rsidRPr="001141A4">
        <w:rPr>
          <w:rFonts w:ascii="Arial" w:hAnsi="Arial" w:cs="Arial"/>
        </w:rPr>
        <w:t>Ce volet contribue à l’organisation de séminaires ou colloques présentant les travaux financés au titre des articles 28, 39 et 40 et qui sont conduits dans le cadre d’un partenariat « scientifiques-pêcheurs ». Ces événements auront vocation à réunir au niveau national l’ensemble des porteurs des projets impliqués ainsi que l’ensemble des pêcheurs et scientifiques intéressés par ces thématiques ou souhaitant être informés des résultats de ces projets. Les partenaires de projets répondant aux thématiques du partenariat scientifiques-pêcheurs mais qui n’auraient pas été financés au titre des articles 28, 3</w:t>
      </w:r>
      <w:r w:rsidR="002C2CD8">
        <w:rPr>
          <w:rFonts w:ascii="Arial" w:hAnsi="Arial" w:cs="Arial"/>
        </w:rPr>
        <w:t>9</w:t>
      </w:r>
      <w:r w:rsidRPr="001141A4">
        <w:rPr>
          <w:rFonts w:ascii="Arial" w:hAnsi="Arial" w:cs="Arial"/>
        </w:rPr>
        <w:t xml:space="preserve"> et 40 pourront être invités à participer et à présenter ces projets.</w:t>
      </w:r>
    </w:p>
    <w:p w14:paraId="5E37AECE"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6" w:name="_Toc65595682"/>
      <w:r w:rsidRPr="001141A4">
        <w:rPr>
          <w:rFonts w:ascii="Arial" w:hAnsi="Arial" w:cs="Arial"/>
          <w:b/>
          <w:color w:val="31849B"/>
          <w:sz w:val="28"/>
          <w:szCs w:val="28"/>
        </w:rPr>
        <w:t>Conditions d’éligibilité</w:t>
      </w:r>
      <w:bookmarkEnd w:id="6"/>
    </w:p>
    <w:p w14:paraId="193A0DD9" w14:textId="77777777" w:rsidR="00FC12B5" w:rsidRPr="001141A4" w:rsidRDefault="00FC12B5" w:rsidP="0043043F">
      <w:pPr>
        <w:pStyle w:val="Paragraphedeliste"/>
        <w:numPr>
          <w:ilvl w:val="1"/>
          <w:numId w:val="1"/>
        </w:numPr>
        <w:spacing w:before="240" w:after="240" w:line="240" w:lineRule="auto"/>
        <w:ind w:left="1077"/>
        <w:jc w:val="both"/>
        <w:outlineLvl w:val="1"/>
        <w:rPr>
          <w:rFonts w:ascii="Arial" w:hAnsi="Arial" w:cs="Arial"/>
          <w:b/>
        </w:rPr>
      </w:pPr>
      <w:bookmarkStart w:id="7" w:name="_Toc437352094"/>
      <w:bookmarkStart w:id="8" w:name="_Toc65595683"/>
      <w:r w:rsidRPr="001141A4">
        <w:rPr>
          <w:rFonts w:ascii="Arial" w:hAnsi="Arial" w:cs="Arial"/>
          <w:b/>
        </w:rPr>
        <w:t>Conditions d’éligibilité portant sur les bénéficiaires</w:t>
      </w:r>
      <w:bookmarkEnd w:id="7"/>
      <w:bookmarkEnd w:id="8"/>
    </w:p>
    <w:p w14:paraId="6331FEB8" w14:textId="77777777" w:rsidR="00FC12B5" w:rsidRPr="001141A4" w:rsidRDefault="00FC12B5" w:rsidP="0043043F">
      <w:pPr>
        <w:pStyle w:val="En-tte"/>
        <w:tabs>
          <w:tab w:val="left" w:pos="0"/>
        </w:tabs>
        <w:jc w:val="both"/>
        <w:rPr>
          <w:rFonts w:ascii="Arial" w:hAnsi="Arial" w:cs="Arial"/>
        </w:rPr>
      </w:pPr>
      <w:r w:rsidRPr="001141A4">
        <w:rPr>
          <w:rFonts w:ascii="Arial" w:hAnsi="Arial" w:cs="Arial"/>
        </w:rPr>
        <w:t>Pour l’ensemble des volets, les bénéficiaires éligibles sont (cf. annexe 1, liste non-exhaustive) :</w:t>
      </w:r>
    </w:p>
    <w:p w14:paraId="1005BE3A" w14:textId="77777777" w:rsidR="00FC12B5" w:rsidRPr="001141A4" w:rsidRDefault="00FC12B5" w:rsidP="0043043F">
      <w:pPr>
        <w:pStyle w:val="En-tte"/>
        <w:numPr>
          <w:ilvl w:val="0"/>
          <w:numId w:val="18"/>
        </w:numPr>
        <w:tabs>
          <w:tab w:val="left" w:pos="0"/>
        </w:tabs>
        <w:suppressAutoHyphens/>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établissements publics ayant des missions de recherche sur le milieu marin;</w:t>
      </w:r>
    </w:p>
    <w:p w14:paraId="475F6154" w14:textId="77777777" w:rsidR="00FC12B5" w:rsidRPr="001141A4" w:rsidRDefault="00FC12B5" w:rsidP="0043043F">
      <w:pPr>
        <w:pStyle w:val="En-tte"/>
        <w:numPr>
          <w:ilvl w:val="0"/>
          <w:numId w:val="18"/>
        </w:numPr>
        <w:tabs>
          <w:tab w:val="left" w:pos="0"/>
        </w:tabs>
        <w:suppressAutoHyphens/>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établissements publics ayant des missions d’appui aux politiques publiques pour la protection et la gestion durable du milieu marin ;</w:t>
      </w:r>
    </w:p>
    <w:p w14:paraId="3125BE71" w14:textId="77777777" w:rsidR="00FC12B5" w:rsidRPr="001141A4" w:rsidRDefault="00FC12B5" w:rsidP="0043043F">
      <w:pPr>
        <w:pStyle w:val="En-tte"/>
        <w:numPr>
          <w:ilvl w:val="0"/>
          <w:numId w:val="18"/>
        </w:numPr>
        <w:tabs>
          <w:tab w:val="left" w:pos="0"/>
        </w:tabs>
        <w:suppressAutoHyphens/>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organismes techniques ayant des missions d’expertise du milieu marin ;</w:t>
      </w:r>
    </w:p>
    <w:p w14:paraId="1007B03F" w14:textId="77777777" w:rsidR="00FC12B5" w:rsidRPr="001141A4" w:rsidRDefault="00FC12B5" w:rsidP="0043043F">
      <w:pPr>
        <w:pStyle w:val="En-tte"/>
        <w:numPr>
          <w:ilvl w:val="0"/>
          <w:numId w:val="18"/>
        </w:numPr>
        <w:tabs>
          <w:tab w:val="left" w:pos="0"/>
        </w:tabs>
        <w:suppressAutoHyphens/>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organisations professionnelles de la pêche ;</w:t>
      </w:r>
    </w:p>
    <w:p w14:paraId="12012766" w14:textId="77777777" w:rsidR="00FC12B5" w:rsidRPr="001141A4" w:rsidRDefault="00FC12B5" w:rsidP="0043043F">
      <w:pPr>
        <w:pStyle w:val="En-tte"/>
        <w:numPr>
          <w:ilvl w:val="0"/>
          <w:numId w:val="18"/>
        </w:numPr>
        <w:tabs>
          <w:tab w:val="left" w:pos="0"/>
        </w:tabs>
        <w:suppressAutoHyphens/>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organisations non gouvernementales dont les actions sont liées au milieu marin ou à la pêche.</w:t>
      </w:r>
    </w:p>
    <w:p w14:paraId="5151249C" w14:textId="77777777" w:rsidR="00FC12B5" w:rsidRPr="001141A4" w:rsidRDefault="00FC12B5" w:rsidP="0043043F">
      <w:pPr>
        <w:pStyle w:val="En-tte"/>
        <w:numPr>
          <w:ilvl w:val="0"/>
          <w:numId w:val="18"/>
        </w:numPr>
        <w:tabs>
          <w:tab w:val="left" w:pos="0"/>
        </w:tabs>
        <w:suppressAutoHyphens/>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pôles de compétitivité</w:t>
      </w:r>
    </w:p>
    <w:p w14:paraId="30F6431F" w14:textId="77777777" w:rsidR="00FC12B5" w:rsidRPr="001141A4" w:rsidRDefault="00FC12B5" w:rsidP="0043043F">
      <w:pPr>
        <w:pStyle w:val="En-tte"/>
        <w:tabs>
          <w:tab w:val="left" w:pos="0"/>
        </w:tabs>
        <w:jc w:val="both"/>
        <w:rPr>
          <w:rFonts w:ascii="Arial" w:hAnsi="Arial" w:cs="Arial"/>
        </w:rPr>
      </w:pPr>
    </w:p>
    <w:p w14:paraId="7279DCEB" w14:textId="77777777" w:rsidR="00FC12B5" w:rsidRPr="001141A4" w:rsidRDefault="00FC12B5" w:rsidP="0043043F">
      <w:pPr>
        <w:pStyle w:val="En-tte"/>
        <w:tabs>
          <w:tab w:val="left" w:pos="0"/>
        </w:tabs>
        <w:jc w:val="both"/>
        <w:rPr>
          <w:rFonts w:ascii="Arial" w:hAnsi="Arial" w:cs="Arial"/>
        </w:rPr>
      </w:pPr>
      <w:r w:rsidRPr="001141A4">
        <w:rPr>
          <w:rFonts w:ascii="Arial" w:hAnsi="Arial" w:cs="Arial"/>
        </w:rPr>
        <w:t>Si le bénéficiaire fait partie d’une des catégories précisées ci-dessus mais n’est pas recensé dans l’annexe 1, l'autorité de gestion peut rendre le bénéficiaire éligible en justifiant sa décision et en prenant les dispositions qui s'imposent.</w:t>
      </w:r>
    </w:p>
    <w:p w14:paraId="481D0959" w14:textId="77777777" w:rsidR="00FC12B5" w:rsidRPr="001141A4" w:rsidRDefault="00FC12B5" w:rsidP="0043043F">
      <w:pPr>
        <w:pStyle w:val="En-tte"/>
        <w:tabs>
          <w:tab w:val="left" w:pos="0"/>
        </w:tabs>
        <w:jc w:val="both"/>
        <w:rPr>
          <w:rFonts w:ascii="Arial" w:hAnsi="Arial" w:cs="Arial"/>
        </w:rPr>
      </w:pPr>
      <w:r w:rsidRPr="001141A4">
        <w:rPr>
          <w:rFonts w:ascii="Arial" w:hAnsi="Arial" w:cs="Arial"/>
        </w:rPr>
        <w:t>Pour cette mesure, l’intervention de pêcheurs (participation à titre individuel) est envisagée sous la forme de prestations pour le compte d’un des organismes bénéficiaires éligibles.</w:t>
      </w:r>
    </w:p>
    <w:p w14:paraId="1CFC7D6A" w14:textId="77777777" w:rsidR="00FC12B5" w:rsidRPr="001141A4" w:rsidRDefault="00FC12B5" w:rsidP="0043043F">
      <w:pPr>
        <w:pStyle w:val="En-tte"/>
        <w:tabs>
          <w:tab w:val="left" w:pos="0"/>
        </w:tabs>
        <w:jc w:val="both"/>
        <w:rPr>
          <w:rFonts w:ascii="Arial" w:hAnsi="Arial" w:cs="Arial"/>
        </w:rPr>
      </w:pPr>
    </w:p>
    <w:p w14:paraId="1D641C6F" w14:textId="77777777" w:rsidR="00FC12B5" w:rsidRPr="001141A4" w:rsidRDefault="00FC12B5" w:rsidP="0043043F">
      <w:pPr>
        <w:pStyle w:val="Paragraphedeliste"/>
        <w:numPr>
          <w:ilvl w:val="1"/>
          <w:numId w:val="1"/>
        </w:numPr>
        <w:spacing w:before="240" w:after="240" w:line="240" w:lineRule="auto"/>
        <w:ind w:left="1077"/>
        <w:jc w:val="both"/>
        <w:outlineLvl w:val="1"/>
        <w:rPr>
          <w:rFonts w:ascii="Arial" w:hAnsi="Arial" w:cs="Arial"/>
          <w:b/>
        </w:rPr>
      </w:pPr>
      <w:bookmarkStart w:id="9" w:name="_Toc437352095"/>
      <w:bookmarkStart w:id="10" w:name="_Toc65595684"/>
      <w:r w:rsidRPr="001141A4">
        <w:rPr>
          <w:rFonts w:ascii="Arial" w:hAnsi="Arial" w:cs="Arial"/>
          <w:b/>
        </w:rPr>
        <w:t>Conditions d’éligibilité portant sur les projets</w:t>
      </w:r>
      <w:bookmarkEnd w:id="9"/>
      <w:bookmarkEnd w:id="10"/>
    </w:p>
    <w:p w14:paraId="24A38865" w14:textId="77777777" w:rsidR="00FC12B5" w:rsidRPr="001141A4" w:rsidRDefault="00FC12B5" w:rsidP="0043043F">
      <w:pPr>
        <w:spacing w:before="57" w:after="57"/>
        <w:rPr>
          <w:rFonts w:ascii="Arial" w:hAnsi="Arial" w:cs="Arial"/>
        </w:rPr>
      </w:pPr>
      <w:r w:rsidRPr="001141A4">
        <w:rPr>
          <w:rFonts w:ascii="Arial" w:hAnsi="Arial" w:cs="Arial"/>
        </w:rPr>
        <w:t>Afin de répondre aux deux objectifs majeurs de la mesure 28, l’éligibilité des projets est définie de la manière suivante.</w:t>
      </w:r>
    </w:p>
    <w:p w14:paraId="30B45BC4" w14:textId="77777777" w:rsidR="00FC12B5" w:rsidRPr="001141A4" w:rsidRDefault="00FC12B5" w:rsidP="0043043F">
      <w:pPr>
        <w:spacing w:before="57" w:after="57"/>
        <w:rPr>
          <w:rFonts w:ascii="Arial" w:hAnsi="Arial" w:cs="Arial"/>
        </w:rPr>
      </w:pPr>
    </w:p>
    <w:p w14:paraId="12313636" w14:textId="77777777" w:rsidR="00FC12B5" w:rsidRPr="001141A4" w:rsidRDefault="00FC12B5" w:rsidP="0043043F">
      <w:pPr>
        <w:spacing w:before="57" w:after="57"/>
        <w:rPr>
          <w:rFonts w:ascii="Arial" w:hAnsi="Arial" w:cs="Arial"/>
          <w:u w:val="single"/>
        </w:rPr>
      </w:pPr>
      <w:r w:rsidRPr="001141A4">
        <w:rPr>
          <w:rFonts w:ascii="Arial" w:hAnsi="Arial" w:cs="Arial"/>
          <w:u w:val="single"/>
        </w:rPr>
        <w:t xml:space="preserve">Un projet </w:t>
      </w:r>
      <w:r w:rsidRPr="001141A4">
        <w:rPr>
          <w:rFonts w:ascii="Arial" w:hAnsi="Arial" w:cs="Arial"/>
          <w:b/>
          <w:u w:val="single"/>
        </w:rPr>
        <w:t>ne peut pas</w:t>
      </w:r>
      <w:r w:rsidRPr="001141A4">
        <w:rPr>
          <w:rFonts w:ascii="Arial" w:hAnsi="Arial" w:cs="Arial"/>
          <w:u w:val="single"/>
        </w:rPr>
        <w:t xml:space="preserve"> bénéficier d’un soutien financier au titre de la mesure 28 « partenariat scientifiques-pêcheurs » :</w:t>
      </w:r>
    </w:p>
    <w:p w14:paraId="04F97E74"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concerne une des campagnes scientifiques inscrite </w:t>
      </w:r>
      <w:r w:rsidR="0058396A" w:rsidRPr="001141A4">
        <w:rPr>
          <w:rFonts w:ascii="Arial" w:hAnsi="Arial" w:cs="Arial"/>
        </w:rPr>
        <w:t>dans le tableau 10 de la décision d’exécution (UE) 2016/1251 de la Commission européenne  ou</w:t>
      </w:r>
      <w:r w:rsidRPr="001141A4">
        <w:rPr>
          <w:rFonts w:ascii="Arial" w:hAnsi="Arial" w:cs="Arial"/>
        </w:rPr>
        <w:t xml:space="preserve"> bien inscrite dans le p</w:t>
      </w:r>
      <w:r w:rsidR="0058396A" w:rsidRPr="001141A4">
        <w:rPr>
          <w:rFonts w:ascii="Arial" w:hAnsi="Arial" w:cs="Arial"/>
        </w:rPr>
        <w:t>lan de travail</w:t>
      </w:r>
      <w:r w:rsidRPr="001141A4">
        <w:rPr>
          <w:rFonts w:ascii="Arial" w:hAnsi="Arial" w:cs="Arial"/>
        </w:rPr>
        <w:t xml:space="preserve"> national (P</w:t>
      </w:r>
      <w:r w:rsidR="0058396A" w:rsidRPr="001141A4">
        <w:rPr>
          <w:rFonts w:ascii="Arial" w:hAnsi="Arial" w:cs="Arial"/>
        </w:rPr>
        <w:t>T</w:t>
      </w:r>
      <w:r w:rsidRPr="001141A4">
        <w:rPr>
          <w:rFonts w:ascii="Arial" w:hAnsi="Arial" w:cs="Arial"/>
        </w:rPr>
        <w:t>N) de collecte de données. Ces campagnes sont éligibles à la mesure 77 ;</w:t>
      </w:r>
    </w:p>
    <w:p w14:paraId="7274CA88"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lastRenderedPageBreak/>
        <w:t>s’il</w:t>
      </w:r>
      <w:proofErr w:type="gramEnd"/>
      <w:r w:rsidRPr="001141A4">
        <w:rPr>
          <w:rFonts w:ascii="Arial" w:hAnsi="Arial" w:cs="Arial"/>
        </w:rPr>
        <w:t xml:space="preserve"> concerne une opération de collecte de données déjà mise en œuvre dans le P</w:t>
      </w:r>
      <w:r w:rsidR="0058396A" w:rsidRPr="001141A4">
        <w:rPr>
          <w:rFonts w:ascii="Arial" w:hAnsi="Arial" w:cs="Arial"/>
        </w:rPr>
        <w:t>T</w:t>
      </w:r>
      <w:r w:rsidRPr="001141A4">
        <w:rPr>
          <w:rFonts w:ascii="Arial" w:hAnsi="Arial" w:cs="Arial"/>
        </w:rPr>
        <w:t>N  en vigueur en application du règlement relatif à la collecte des données. Ces opérations sont éligibles à la mesure 77 ; néanmoins les opérations prévues dans un projet financé par la mesure 28 peuvent venir renforcer un échantillonnage déjà existant dans le P</w:t>
      </w:r>
      <w:r w:rsidR="002E22AC" w:rsidRPr="001141A4">
        <w:rPr>
          <w:rFonts w:ascii="Arial" w:hAnsi="Arial" w:cs="Arial"/>
        </w:rPr>
        <w:t>T</w:t>
      </w:r>
      <w:r w:rsidRPr="001141A4">
        <w:rPr>
          <w:rFonts w:ascii="Arial" w:hAnsi="Arial" w:cs="Arial"/>
        </w:rPr>
        <w:t>N si cela est scientifiquement justifié.</w:t>
      </w:r>
    </w:p>
    <w:p w14:paraId="058AAB8F"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porte sur l’acquisition de connaissances de l’efficacité d’un équipement innovant ou d’une stratégie innovante (éligible à l’article 39) ;</w:t>
      </w:r>
    </w:p>
    <w:p w14:paraId="33E45302"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porte sur l’acquisition de connaissances sur les interactions entre les activités de la pêche et l’environnement marin (éligible à la mesure 40) ;</w:t>
      </w:r>
    </w:p>
    <w:p w14:paraId="59514732"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porte sur une enquête de terrain réalisée dans le cadre d’une analyse de risque telle que définie dans la mesure 40 (éligible au volet 2 de la mesure 40) ;</w:t>
      </w:r>
    </w:p>
    <w:p w14:paraId="1E253058" w14:textId="77777777" w:rsidR="00FC12B5" w:rsidRPr="001141A4" w:rsidRDefault="00FC12B5" w:rsidP="0043043F">
      <w:pPr>
        <w:spacing w:before="57" w:after="57"/>
        <w:rPr>
          <w:rFonts w:ascii="Arial" w:hAnsi="Arial" w:cs="Arial"/>
        </w:rPr>
      </w:pPr>
    </w:p>
    <w:p w14:paraId="13BC5805" w14:textId="78AC45A6" w:rsidR="00FC12B5" w:rsidRPr="001141A4" w:rsidRDefault="00FC12B5" w:rsidP="0043043F">
      <w:pPr>
        <w:spacing w:before="57" w:after="57"/>
        <w:rPr>
          <w:rFonts w:ascii="Arial" w:hAnsi="Arial" w:cs="Arial"/>
          <w:u w:val="single"/>
        </w:rPr>
      </w:pPr>
      <w:r w:rsidRPr="001141A4">
        <w:rPr>
          <w:rFonts w:ascii="Arial" w:hAnsi="Arial" w:cs="Arial"/>
          <w:u w:val="single"/>
        </w:rPr>
        <w:t xml:space="preserve">Un projet est </w:t>
      </w:r>
      <w:r w:rsidRPr="001141A4">
        <w:rPr>
          <w:rFonts w:ascii="Arial" w:hAnsi="Arial" w:cs="Arial"/>
          <w:b/>
          <w:u w:val="single"/>
        </w:rPr>
        <w:t>éligible</w:t>
      </w:r>
      <w:r w:rsidRPr="001141A4">
        <w:rPr>
          <w:rFonts w:ascii="Arial" w:hAnsi="Arial" w:cs="Arial"/>
          <w:u w:val="single"/>
        </w:rPr>
        <w:t xml:space="preserve"> à la mesure 28</w:t>
      </w:r>
      <w:r w:rsidR="003023B4" w:rsidRPr="001141A4">
        <w:rPr>
          <w:rFonts w:ascii="Arial" w:hAnsi="Arial" w:cs="Arial"/>
          <w:u w:val="single"/>
        </w:rPr>
        <w:t xml:space="preserve">, volets 1 à 3 </w:t>
      </w:r>
      <w:r w:rsidR="006745EC">
        <w:rPr>
          <w:rFonts w:ascii="Arial" w:hAnsi="Arial" w:cs="Arial"/>
          <w:u w:val="single"/>
        </w:rPr>
        <w:t xml:space="preserve">- conditions </w:t>
      </w:r>
      <w:proofErr w:type="gramStart"/>
      <w:r w:rsidR="006745EC">
        <w:rPr>
          <w:rFonts w:ascii="Arial" w:hAnsi="Arial" w:cs="Arial"/>
          <w:u w:val="single"/>
        </w:rPr>
        <w:t xml:space="preserve">cumulatives </w:t>
      </w:r>
      <w:r w:rsidRPr="001141A4">
        <w:rPr>
          <w:rFonts w:ascii="Arial" w:hAnsi="Arial" w:cs="Arial"/>
          <w:u w:val="single"/>
        </w:rPr>
        <w:t xml:space="preserve"> :</w:t>
      </w:r>
      <w:proofErr w:type="gramEnd"/>
    </w:p>
    <w:p w14:paraId="3B896633" w14:textId="77777777" w:rsidR="00FC12B5" w:rsidRPr="001141A4" w:rsidRDefault="002E22AC" w:rsidP="008D097C">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w:t>
      </w:r>
      <w:r w:rsidR="008D097C" w:rsidRPr="001141A4">
        <w:rPr>
          <w:rFonts w:ascii="Arial" w:hAnsi="Arial" w:cs="Arial"/>
        </w:rPr>
        <w:t>ous</w:t>
      </w:r>
      <w:proofErr w:type="gramEnd"/>
      <w:r w:rsidR="008D097C" w:rsidRPr="001141A4">
        <w:rPr>
          <w:rFonts w:ascii="Arial" w:hAnsi="Arial" w:cs="Arial"/>
        </w:rPr>
        <w:t xml:space="preserve"> réserve des modalités d’ajustement précisées dans l’annexe à la loi de programmation, les plafonds des crédits sont impératifs les deux premières années et susceptibles </w:t>
      </w:r>
      <w:r w:rsidR="006745EC">
        <w:rPr>
          <w:rFonts w:ascii="Arial" w:hAnsi="Arial" w:cs="Arial"/>
        </w:rPr>
        <w:t>d’ajustement la troisième année</w:t>
      </w:r>
      <w:r w:rsidR="00FC12B5" w:rsidRPr="001141A4">
        <w:rPr>
          <w:rFonts w:ascii="Arial" w:hAnsi="Arial" w:cs="Arial"/>
        </w:rPr>
        <w:t>.</w:t>
      </w:r>
    </w:p>
    <w:p w14:paraId="212276B7"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w:t>
      </w:r>
      <w:proofErr w:type="gramEnd"/>
      <w:r w:rsidRPr="001141A4">
        <w:rPr>
          <w:rFonts w:ascii="Arial" w:hAnsi="Arial" w:cs="Arial"/>
        </w:rPr>
        <w:t xml:space="preserve"> la part des aides publiques demandés par le(s) bénéficiaire(s) – i.e. total des contributions FEAMP et contributions publiques nationales - du projet dans sa totalité est supérieure ou égale à </w:t>
      </w:r>
      <w:r w:rsidRPr="001141A4">
        <w:rPr>
          <w:rFonts w:ascii="Arial" w:hAnsi="Arial" w:cs="Arial"/>
          <w:b/>
        </w:rPr>
        <w:t>16</w:t>
      </w:r>
      <w:r w:rsidR="00A17421" w:rsidRPr="001141A4">
        <w:rPr>
          <w:rFonts w:ascii="Arial" w:hAnsi="Arial" w:cs="Arial"/>
          <w:b/>
        </w:rPr>
        <w:t> </w:t>
      </w:r>
      <w:r w:rsidRPr="001141A4">
        <w:rPr>
          <w:rFonts w:ascii="Arial" w:hAnsi="Arial" w:cs="Arial"/>
          <w:b/>
        </w:rPr>
        <w:t>500</w:t>
      </w:r>
      <w:r w:rsidR="00A17421" w:rsidRPr="001141A4">
        <w:rPr>
          <w:rFonts w:ascii="Arial" w:hAnsi="Arial" w:cs="Arial"/>
          <w:b/>
        </w:rPr>
        <w:t xml:space="preserve"> </w:t>
      </w:r>
      <w:r w:rsidRPr="001141A4">
        <w:rPr>
          <w:rFonts w:ascii="Arial" w:hAnsi="Arial" w:cs="Arial"/>
        </w:rPr>
        <w:t>€ </w:t>
      </w:r>
      <w:r w:rsidRPr="001141A4">
        <w:rPr>
          <w:rFonts w:ascii="Arial" w:hAnsi="Arial" w:cs="Arial"/>
          <w:b/>
        </w:rPr>
        <w:t>;</w:t>
      </w:r>
    </w:p>
    <w:p w14:paraId="42310932"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w:t>
      </w:r>
      <w:proofErr w:type="gramEnd"/>
      <w:r w:rsidRPr="001141A4">
        <w:rPr>
          <w:rFonts w:ascii="Arial" w:hAnsi="Arial" w:cs="Arial"/>
        </w:rPr>
        <w:t xml:space="preserve"> les aides publiques demandées par chacun des bénéficiaires – i.e. total de la contribution FEAMP et de la contribution publique nationale par partenaire - sont supérieures ou égales à </w:t>
      </w:r>
      <w:r w:rsidRPr="001141A4">
        <w:rPr>
          <w:rFonts w:ascii="Arial" w:hAnsi="Arial" w:cs="Arial"/>
          <w:b/>
        </w:rPr>
        <w:t>5 000 € ;</w:t>
      </w:r>
    </w:p>
    <w:p w14:paraId="6E3A9E46"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s’inscrit dans un des volets </w:t>
      </w:r>
      <w:r w:rsidR="003023B4" w:rsidRPr="001141A4">
        <w:rPr>
          <w:rFonts w:ascii="Arial" w:hAnsi="Arial" w:cs="Arial"/>
        </w:rPr>
        <w:t xml:space="preserve">1 à 3 </w:t>
      </w:r>
      <w:r w:rsidRPr="001141A4">
        <w:rPr>
          <w:rFonts w:ascii="Arial" w:hAnsi="Arial" w:cs="Arial"/>
        </w:rPr>
        <w:t xml:space="preserve">du cadre méthodologique ; </w:t>
      </w:r>
    </w:p>
    <w:p w14:paraId="59D6DED6" w14:textId="5C588DE6"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w:t>
      </w:r>
      <w:proofErr w:type="gramEnd"/>
      <w:r w:rsidRPr="001141A4">
        <w:rPr>
          <w:rFonts w:ascii="Arial" w:hAnsi="Arial" w:cs="Arial"/>
        </w:rPr>
        <w:t xml:space="preserve"> l’ensemble des partenaires du projet convient d’une convention de partenariat et que la convention implique a minima la participation d’un organisme scientifique ou d’un centre technique régional (Cf. liste </w:t>
      </w:r>
      <w:r w:rsidR="0058396A" w:rsidRPr="001141A4">
        <w:rPr>
          <w:rFonts w:ascii="Arial" w:hAnsi="Arial" w:cs="Arial"/>
        </w:rPr>
        <w:t xml:space="preserve">non exhaustive </w:t>
      </w:r>
      <w:r w:rsidRPr="001141A4">
        <w:rPr>
          <w:rFonts w:ascii="Arial" w:hAnsi="Arial" w:cs="Arial"/>
        </w:rPr>
        <w:t>de l’annexe 1) et d’une organisation professionnelle du secteur de la pêche professionnelle. Si le bénéficiaire fait partie d’une des catégories précisées ci-dessus mais n’est pas recensé dans l’annexe 1, ce dernier adresse une demande motivée auprès de l’a</w:t>
      </w:r>
      <w:r w:rsidR="004C52F3">
        <w:rPr>
          <w:rFonts w:ascii="Arial" w:hAnsi="Arial" w:cs="Arial"/>
        </w:rPr>
        <w:t xml:space="preserve">utorité de gestion qui statue </w:t>
      </w:r>
      <w:r w:rsidRPr="001141A4">
        <w:rPr>
          <w:rFonts w:ascii="Arial" w:hAnsi="Arial" w:cs="Arial"/>
        </w:rPr>
        <w:t xml:space="preserve">; </w:t>
      </w:r>
    </w:p>
    <w:p w14:paraId="232F97E1"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porte sur des espèces marines ou amphihalines d’intérêt halieutique ;</w:t>
      </w:r>
    </w:p>
    <w:p w14:paraId="73E247EF"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concerne exclusivement le secteur de la pêche professionnelle</w:t>
      </w:r>
      <w:r w:rsidR="003A6857" w:rsidRPr="001141A4">
        <w:rPr>
          <w:rFonts w:ascii="Arial" w:hAnsi="Arial" w:cs="Arial"/>
        </w:rPr>
        <w:t xml:space="preserve">, y compris </w:t>
      </w:r>
      <w:r w:rsidR="005D56AE" w:rsidRPr="001141A4">
        <w:rPr>
          <w:rFonts w:ascii="Arial" w:hAnsi="Arial" w:cs="Arial"/>
        </w:rPr>
        <w:t xml:space="preserve">de l’exploitation par des professionnels agréés d’algues </w:t>
      </w:r>
      <w:r w:rsidR="002E22AC" w:rsidRPr="001141A4">
        <w:rPr>
          <w:rFonts w:ascii="Arial" w:hAnsi="Arial" w:cs="Arial"/>
        </w:rPr>
        <w:t>sauvages</w:t>
      </w:r>
      <w:r w:rsidRPr="001141A4">
        <w:rPr>
          <w:rFonts w:ascii="Arial" w:hAnsi="Arial" w:cs="Arial"/>
        </w:rPr>
        <w:t xml:space="preserve">, ou s’il concerne le secteur de la pêche professionnelle et le secteur de la pêche de loisir, </w:t>
      </w:r>
    </w:p>
    <w:p w14:paraId="4AEE9AAD" w14:textId="77777777" w:rsidR="00FC12B5" w:rsidRPr="001141A4" w:rsidRDefault="00FC12B5" w:rsidP="0043043F">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intègre une étape de transfert de connaissance auprès du secteur socioprofessionnel ;</w:t>
      </w:r>
    </w:p>
    <w:p w14:paraId="25BC9A7D" w14:textId="4FC3BBB6" w:rsidR="00AD01B7" w:rsidRDefault="00AD01B7" w:rsidP="00AD01B7">
      <w:pPr>
        <w:numPr>
          <w:ilvl w:val="0"/>
          <w:numId w:val="11"/>
        </w:numPr>
        <w:suppressAutoHyphens/>
        <w:spacing w:before="57" w:after="57" w:line="240" w:lineRule="auto"/>
        <w:jc w:val="both"/>
        <w:rPr>
          <w:rFonts w:ascii="Arial" w:hAnsi="Arial" w:cs="Arial"/>
        </w:rPr>
      </w:pPr>
      <w:proofErr w:type="gramStart"/>
      <w:r>
        <w:rPr>
          <w:rFonts w:ascii="Arial" w:hAnsi="Arial" w:cs="Arial"/>
        </w:rPr>
        <w:t>si</w:t>
      </w:r>
      <w:proofErr w:type="gramEnd"/>
      <w:r>
        <w:rPr>
          <w:rFonts w:ascii="Arial" w:hAnsi="Arial" w:cs="Arial"/>
        </w:rPr>
        <w:t xml:space="preserve"> la fin du projet est prévue avant le 30 juin 2023 et si l’ensemble des livrables pourront être fournis à cette date.</w:t>
      </w:r>
      <w:r w:rsidRPr="00AD01B7">
        <w:t xml:space="preserve"> </w:t>
      </w:r>
      <w:r w:rsidRPr="00AD01B7">
        <w:rPr>
          <w:rFonts w:ascii="Arial" w:hAnsi="Arial" w:cs="Arial"/>
        </w:rPr>
        <w:t xml:space="preserve">La demande de paiement finale devra être déposée avant </w:t>
      </w:r>
      <w:r w:rsidR="00B150EC">
        <w:rPr>
          <w:rFonts w:ascii="Arial" w:hAnsi="Arial" w:cs="Arial"/>
        </w:rPr>
        <w:t xml:space="preserve">le 30 </w:t>
      </w:r>
      <w:r w:rsidRPr="00AD01B7">
        <w:rPr>
          <w:rFonts w:ascii="Arial" w:hAnsi="Arial" w:cs="Arial"/>
        </w:rPr>
        <w:t>septembre 2023.</w:t>
      </w:r>
    </w:p>
    <w:p w14:paraId="1FA6A736" w14:textId="77777777" w:rsidR="005D00F0" w:rsidRPr="001141A4" w:rsidRDefault="005D00F0" w:rsidP="005D00F0">
      <w:pPr>
        <w:suppressAutoHyphens/>
        <w:spacing w:before="57" w:after="57" w:line="240" w:lineRule="auto"/>
        <w:jc w:val="both"/>
        <w:rPr>
          <w:rFonts w:ascii="Arial" w:hAnsi="Arial" w:cs="Arial"/>
        </w:rPr>
      </w:pPr>
    </w:p>
    <w:p w14:paraId="576985FA" w14:textId="77777777" w:rsidR="00FC12B5" w:rsidRPr="001141A4" w:rsidRDefault="00FC12B5" w:rsidP="0043043F">
      <w:pPr>
        <w:spacing w:before="57" w:after="57"/>
        <w:rPr>
          <w:rFonts w:ascii="Arial" w:hAnsi="Arial" w:cs="Arial"/>
          <w:b/>
          <w:u w:val="single"/>
        </w:rPr>
      </w:pPr>
    </w:p>
    <w:p w14:paraId="0645ACFA" w14:textId="42945D4B" w:rsidR="003023B4" w:rsidRPr="001141A4" w:rsidRDefault="003023B4" w:rsidP="003023B4">
      <w:pPr>
        <w:spacing w:before="57" w:after="57"/>
        <w:rPr>
          <w:rFonts w:ascii="Arial" w:hAnsi="Arial" w:cs="Arial"/>
          <w:u w:val="single"/>
        </w:rPr>
      </w:pPr>
      <w:r w:rsidRPr="001141A4">
        <w:rPr>
          <w:rFonts w:ascii="Arial" w:hAnsi="Arial" w:cs="Arial"/>
          <w:u w:val="single"/>
        </w:rPr>
        <w:t xml:space="preserve">Un projet est </w:t>
      </w:r>
      <w:r w:rsidRPr="001141A4">
        <w:rPr>
          <w:rFonts w:ascii="Arial" w:hAnsi="Arial" w:cs="Arial"/>
          <w:b/>
          <w:u w:val="single"/>
        </w:rPr>
        <w:t>éligible</w:t>
      </w:r>
      <w:r w:rsidRPr="001141A4">
        <w:rPr>
          <w:rFonts w:ascii="Arial" w:hAnsi="Arial" w:cs="Arial"/>
          <w:u w:val="single"/>
        </w:rPr>
        <w:t xml:space="preserve"> à la mesure 28, volet 4 - conditions cumulatives - :</w:t>
      </w:r>
    </w:p>
    <w:p w14:paraId="3A09AE8A" w14:textId="77777777" w:rsidR="003023B4" w:rsidRPr="001141A4" w:rsidRDefault="003023B4" w:rsidP="003023B4">
      <w:pPr>
        <w:numPr>
          <w:ilvl w:val="0"/>
          <w:numId w:val="11"/>
        </w:numPr>
        <w:suppressAutoHyphens/>
        <w:spacing w:before="57" w:after="57" w:line="240" w:lineRule="auto"/>
        <w:jc w:val="both"/>
        <w:rPr>
          <w:rFonts w:ascii="Arial" w:hAnsi="Arial" w:cs="Arial"/>
        </w:rPr>
      </w:pPr>
      <w:proofErr w:type="gramStart"/>
      <w:r w:rsidRPr="001141A4">
        <w:rPr>
          <w:rFonts w:ascii="Arial" w:hAnsi="Arial" w:cs="Arial"/>
        </w:rPr>
        <w:t>s’il</w:t>
      </w:r>
      <w:proofErr w:type="gramEnd"/>
      <w:r w:rsidRPr="001141A4">
        <w:rPr>
          <w:rFonts w:ascii="Arial" w:hAnsi="Arial" w:cs="Arial"/>
        </w:rPr>
        <w:t xml:space="preserve"> s’inscrit dans le volet 4 </w:t>
      </w:r>
      <w:r w:rsidR="00912372" w:rsidRPr="001141A4">
        <w:rPr>
          <w:rFonts w:ascii="Arial" w:hAnsi="Arial" w:cs="Arial"/>
        </w:rPr>
        <w:t>du cadre méthodologique </w:t>
      </w:r>
    </w:p>
    <w:p w14:paraId="2079B50F" w14:textId="7CDD9739" w:rsidR="003023B4" w:rsidRPr="001141A4" w:rsidRDefault="00912372" w:rsidP="00B6401E">
      <w:pPr>
        <w:numPr>
          <w:ilvl w:val="0"/>
          <w:numId w:val="11"/>
        </w:numPr>
        <w:suppressAutoHyphens/>
        <w:spacing w:before="57" w:after="57" w:line="240" w:lineRule="auto"/>
        <w:jc w:val="both"/>
        <w:rPr>
          <w:rFonts w:ascii="Arial" w:hAnsi="Arial" w:cs="Arial"/>
          <w:u w:val="single"/>
        </w:rPr>
      </w:pPr>
      <w:proofErr w:type="gramStart"/>
      <w:r w:rsidRPr="001141A4">
        <w:rPr>
          <w:rFonts w:ascii="Arial" w:hAnsi="Arial" w:cs="Arial"/>
        </w:rPr>
        <w:t>s’il</w:t>
      </w:r>
      <w:proofErr w:type="gramEnd"/>
      <w:r w:rsidRPr="001141A4">
        <w:rPr>
          <w:rFonts w:ascii="Arial" w:hAnsi="Arial" w:cs="Arial"/>
        </w:rPr>
        <w:t xml:space="preserve"> prévoit l’organisation d’un nombre limité de </w:t>
      </w:r>
      <w:r w:rsidR="003023B4" w:rsidRPr="001141A4">
        <w:rPr>
          <w:rFonts w:ascii="Arial" w:hAnsi="Arial" w:cs="Arial"/>
        </w:rPr>
        <w:t>séminaires</w:t>
      </w:r>
      <w:r w:rsidRPr="001141A4">
        <w:rPr>
          <w:rFonts w:ascii="Arial" w:hAnsi="Arial" w:cs="Arial"/>
        </w:rPr>
        <w:t xml:space="preserve"> ou colloques </w:t>
      </w:r>
      <w:r w:rsidR="003023B4" w:rsidRPr="001141A4">
        <w:rPr>
          <w:rFonts w:ascii="Arial" w:hAnsi="Arial" w:cs="Arial"/>
        </w:rPr>
        <w:t xml:space="preserve">nationaux dont les objectifs doivent être de </w:t>
      </w:r>
      <w:r w:rsidR="003023B4" w:rsidRPr="001141A4">
        <w:rPr>
          <w:rFonts w:ascii="Arial" w:hAnsi="Arial" w:cs="Arial"/>
          <w:u w:val="single"/>
        </w:rPr>
        <w:t>(i) présenter les travaux financés au titre des articles 28, 39 et 40 et qui sont conduits dans le cadre d’un partenariat « scientifiques-pêcheurs », (ii) informer et débatt</w:t>
      </w:r>
      <w:r w:rsidR="005D00F0" w:rsidRPr="001141A4">
        <w:rPr>
          <w:rFonts w:ascii="Arial" w:hAnsi="Arial" w:cs="Arial"/>
          <w:u w:val="single"/>
        </w:rPr>
        <w:t>re des résultats de ces travaux</w:t>
      </w:r>
      <w:r w:rsidR="002C2CD8">
        <w:rPr>
          <w:rFonts w:ascii="Arial" w:hAnsi="Arial" w:cs="Arial"/>
          <w:u w:val="single"/>
        </w:rPr>
        <w:t xml:space="preserve"> </w:t>
      </w:r>
    </w:p>
    <w:p w14:paraId="7823BA84" w14:textId="76044AC6" w:rsidR="005D00F0" w:rsidRDefault="00AD01B7" w:rsidP="00AD01B7">
      <w:pPr>
        <w:numPr>
          <w:ilvl w:val="0"/>
          <w:numId w:val="11"/>
        </w:numPr>
        <w:suppressAutoHyphens/>
        <w:spacing w:before="57" w:after="57" w:line="240" w:lineRule="auto"/>
        <w:jc w:val="both"/>
        <w:rPr>
          <w:rFonts w:ascii="Arial" w:hAnsi="Arial" w:cs="Arial"/>
        </w:rPr>
      </w:pPr>
      <w:proofErr w:type="gramStart"/>
      <w:r>
        <w:rPr>
          <w:rFonts w:ascii="Arial" w:hAnsi="Arial" w:cs="Arial"/>
        </w:rPr>
        <w:t>si</w:t>
      </w:r>
      <w:proofErr w:type="gramEnd"/>
      <w:r>
        <w:rPr>
          <w:rFonts w:ascii="Arial" w:hAnsi="Arial" w:cs="Arial"/>
        </w:rPr>
        <w:t xml:space="preserve"> la fin du projet est prévue avant le 30 juin 2023 </w:t>
      </w:r>
      <w:r w:rsidR="002C2CD8">
        <w:rPr>
          <w:rFonts w:ascii="Arial" w:hAnsi="Arial" w:cs="Arial"/>
        </w:rPr>
        <w:t>et</w:t>
      </w:r>
      <w:r>
        <w:rPr>
          <w:rFonts w:ascii="Arial" w:hAnsi="Arial" w:cs="Arial"/>
        </w:rPr>
        <w:t xml:space="preserve"> si</w:t>
      </w:r>
      <w:r w:rsidR="002C2CD8">
        <w:rPr>
          <w:rFonts w:ascii="Arial" w:hAnsi="Arial" w:cs="Arial"/>
        </w:rPr>
        <w:t xml:space="preserve"> l’ensemble des livrables pourront être fournis</w:t>
      </w:r>
      <w:r>
        <w:rPr>
          <w:rFonts w:ascii="Arial" w:hAnsi="Arial" w:cs="Arial"/>
        </w:rPr>
        <w:t xml:space="preserve"> à cette date. </w:t>
      </w:r>
      <w:r w:rsidRPr="00AD01B7">
        <w:rPr>
          <w:rFonts w:ascii="Arial" w:hAnsi="Arial" w:cs="Arial"/>
        </w:rPr>
        <w:t>La demande de paiement finale devra être déposée avant</w:t>
      </w:r>
      <w:r w:rsidR="00B150EC">
        <w:rPr>
          <w:rFonts w:ascii="Arial" w:hAnsi="Arial" w:cs="Arial"/>
        </w:rPr>
        <w:t xml:space="preserve"> le 30</w:t>
      </w:r>
      <w:r w:rsidRPr="00AD01B7">
        <w:rPr>
          <w:rFonts w:ascii="Arial" w:hAnsi="Arial" w:cs="Arial"/>
        </w:rPr>
        <w:t xml:space="preserve"> septembre 2023.</w:t>
      </w:r>
    </w:p>
    <w:p w14:paraId="7B732A40" w14:textId="77777777" w:rsidR="002C2CD8" w:rsidRPr="001141A4" w:rsidRDefault="002C2CD8" w:rsidP="008261FD">
      <w:pPr>
        <w:suppressAutoHyphens/>
        <w:spacing w:before="57" w:after="57" w:line="240" w:lineRule="auto"/>
        <w:ind w:left="720"/>
        <w:jc w:val="both"/>
        <w:rPr>
          <w:rFonts w:ascii="Arial" w:hAnsi="Arial" w:cs="Arial"/>
        </w:rPr>
      </w:pPr>
    </w:p>
    <w:p w14:paraId="0DB75164" w14:textId="77777777" w:rsidR="00FC12B5" w:rsidRPr="001141A4" w:rsidRDefault="00FC12B5" w:rsidP="00045A93">
      <w:pPr>
        <w:spacing w:before="57" w:after="57"/>
        <w:jc w:val="both"/>
        <w:rPr>
          <w:rFonts w:ascii="Arial" w:hAnsi="Arial" w:cs="Arial"/>
        </w:rPr>
      </w:pPr>
      <w:r w:rsidRPr="001141A4">
        <w:rPr>
          <w:rFonts w:ascii="Arial" w:hAnsi="Arial" w:cs="Arial"/>
          <w:b/>
          <w:u w:val="single"/>
        </w:rPr>
        <w:lastRenderedPageBreak/>
        <w:t>N.B. précisions concernant le non-financement répété d’un même projet (règlement « </w:t>
      </w:r>
      <w:proofErr w:type="spellStart"/>
      <w:r w:rsidRPr="001141A4">
        <w:rPr>
          <w:rFonts w:ascii="Arial" w:hAnsi="Arial" w:cs="Arial"/>
          <w:b/>
          <w:u w:val="single"/>
        </w:rPr>
        <w:t>interfonds</w:t>
      </w:r>
      <w:proofErr w:type="spellEnd"/>
      <w:r w:rsidRPr="001141A4">
        <w:rPr>
          <w:rFonts w:ascii="Arial" w:hAnsi="Arial" w:cs="Arial"/>
          <w:b/>
          <w:u w:val="single"/>
        </w:rPr>
        <w:t> ») :</w:t>
      </w:r>
      <w:r w:rsidRPr="001141A4">
        <w:rPr>
          <w:rFonts w:ascii="Arial" w:hAnsi="Arial" w:cs="Arial"/>
        </w:rPr>
        <w:t xml:space="preserve"> </w:t>
      </w:r>
    </w:p>
    <w:p w14:paraId="4CBA317C" w14:textId="77777777" w:rsidR="00FC12B5" w:rsidRPr="001141A4" w:rsidRDefault="00FC12B5" w:rsidP="00045A93">
      <w:pPr>
        <w:spacing w:before="57" w:after="57"/>
        <w:jc w:val="both"/>
        <w:rPr>
          <w:rFonts w:ascii="Arial" w:hAnsi="Arial" w:cs="Arial"/>
        </w:rPr>
      </w:pPr>
      <w:r w:rsidRPr="001141A4">
        <w:rPr>
          <w:rFonts w:ascii="Arial" w:hAnsi="Arial" w:cs="Arial"/>
        </w:rPr>
        <w:t>Un projet de suivi scientifique (par exemple</w:t>
      </w:r>
      <w:r w:rsidR="00467C38" w:rsidRPr="001141A4">
        <w:rPr>
          <w:rFonts w:ascii="Arial" w:hAnsi="Arial" w:cs="Arial"/>
        </w:rPr>
        <w:t xml:space="preserve"> une</w:t>
      </w:r>
      <w:r w:rsidRPr="001141A4">
        <w:rPr>
          <w:rFonts w:ascii="Arial" w:hAnsi="Arial" w:cs="Arial"/>
        </w:rPr>
        <w:t xml:space="preserve"> campagne à la mer) peut bénéficier d’un soutien du FEAMP à plusieurs reprises à condition que les projets se succèdent dans le temps</w:t>
      </w:r>
      <w:r w:rsidR="00467C38" w:rsidRPr="001141A4">
        <w:rPr>
          <w:rFonts w:ascii="Arial" w:hAnsi="Arial" w:cs="Arial"/>
        </w:rPr>
        <w:t xml:space="preserve"> sans chevauchement</w:t>
      </w:r>
      <w:r w:rsidRPr="001141A4">
        <w:rPr>
          <w:rFonts w:ascii="Arial" w:hAnsi="Arial" w:cs="Arial"/>
        </w:rPr>
        <w:t>. En effet chaque nouveau projet apporte de nouvelles connaissances ou de nouvelles données à la série chronologique. Dans ce cas, un dossier de demande d’aide doit être de nouveau déposé pour la nouvelle période à couvrir : par exemple un dossier doit être établi pour une campagne scientifique pour la période 2017-2019 puis pour le renouvellement de la campagne pour la période 2020-2022.</w:t>
      </w:r>
    </w:p>
    <w:p w14:paraId="1E0938D1"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11" w:name="_Toc65595685"/>
      <w:r w:rsidRPr="001141A4">
        <w:rPr>
          <w:rFonts w:ascii="Arial" w:hAnsi="Arial" w:cs="Arial"/>
          <w:b/>
          <w:color w:val="31849B"/>
          <w:sz w:val="28"/>
          <w:szCs w:val="28"/>
        </w:rPr>
        <w:t>Critères de sélection</w:t>
      </w:r>
      <w:bookmarkEnd w:id="11"/>
    </w:p>
    <w:p w14:paraId="62D56A70" w14:textId="77777777" w:rsidR="005D56AE" w:rsidRPr="001141A4" w:rsidRDefault="00912372" w:rsidP="005D56AE">
      <w:pPr>
        <w:spacing w:before="57" w:after="57"/>
        <w:rPr>
          <w:rFonts w:ascii="Arial" w:hAnsi="Arial" w:cs="Arial"/>
        </w:rPr>
      </w:pPr>
      <w:r w:rsidRPr="001141A4">
        <w:rPr>
          <w:rFonts w:ascii="Arial" w:hAnsi="Arial" w:cs="Arial"/>
        </w:rPr>
        <w:t>Pour les</w:t>
      </w:r>
      <w:r w:rsidR="005D56AE" w:rsidRPr="001141A4">
        <w:rPr>
          <w:rFonts w:ascii="Arial" w:hAnsi="Arial" w:cs="Arial"/>
        </w:rPr>
        <w:t xml:space="preserve"> volets</w:t>
      </w:r>
      <w:r w:rsidRPr="001141A4">
        <w:rPr>
          <w:rFonts w:ascii="Arial" w:hAnsi="Arial" w:cs="Arial"/>
        </w:rPr>
        <w:t xml:space="preserve"> 1 à 3</w:t>
      </w:r>
      <w:r w:rsidR="005D56AE" w:rsidRPr="001141A4">
        <w:rPr>
          <w:rFonts w:ascii="Arial" w:hAnsi="Arial" w:cs="Arial"/>
        </w:rPr>
        <w:t>, la sélection des projets s’appuiera sur les critères de sélection suivants :</w:t>
      </w:r>
    </w:p>
    <w:p w14:paraId="30613397" w14:textId="77777777" w:rsidR="005D56AE" w:rsidRPr="001141A4" w:rsidRDefault="005D56AE" w:rsidP="005D56AE">
      <w:pPr>
        <w:numPr>
          <w:ilvl w:val="0"/>
          <w:numId w:val="11"/>
        </w:numPr>
        <w:suppressAutoHyphens/>
        <w:spacing w:before="57" w:after="57" w:line="240" w:lineRule="auto"/>
        <w:jc w:val="both"/>
        <w:rPr>
          <w:rFonts w:ascii="Arial" w:hAnsi="Arial" w:cs="Arial"/>
          <w:b/>
        </w:rPr>
      </w:pPr>
      <w:r w:rsidRPr="001141A4">
        <w:rPr>
          <w:rFonts w:ascii="Arial" w:hAnsi="Arial" w:cs="Arial"/>
          <w:b/>
        </w:rPr>
        <w:t>Qualité scientifique du projet</w:t>
      </w:r>
    </w:p>
    <w:p w14:paraId="1C04E6B9" w14:textId="77777777" w:rsidR="005D56AE" w:rsidRPr="001141A4" w:rsidRDefault="005D56AE" w:rsidP="005D56AE">
      <w:pPr>
        <w:numPr>
          <w:ilvl w:val="0"/>
          <w:numId w:val="11"/>
        </w:numPr>
        <w:suppressAutoHyphens/>
        <w:spacing w:before="57" w:after="57" w:line="240" w:lineRule="auto"/>
        <w:jc w:val="both"/>
        <w:rPr>
          <w:rFonts w:ascii="Arial" w:hAnsi="Arial" w:cs="Arial"/>
          <w:b/>
        </w:rPr>
      </w:pPr>
      <w:r w:rsidRPr="001141A4">
        <w:rPr>
          <w:rFonts w:ascii="Arial" w:hAnsi="Arial" w:cs="Arial"/>
          <w:b/>
        </w:rPr>
        <w:t xml:space="preserve">Qualité du partenariat </w:t>
      </w:r>
    </w:p>
    <w:p w14:paraId="031409E6" w14:textId="77777777" w:rsidR="005D56AE" w:rsidRPr="001141A4" w:rsidRDefault="005D56AE" w:rsidP="00B6401E">
      <w:pPr>
        <w:numPr>
          <w:ilvl w:val="0"/>
          <w:numId w:val="11"/>
        </w:numPr>
        <w:suppressAutoHyphens/>
        <w:spacing w:before="57" w:after="57" w:line="240" w:lineRule="auto"/>
        <w:jc w:val="both"/>
        <w:rPr>
          <w:rFonts w:ascii="Arial" w:hAnsi="Arial" w:cs="Arial"/>
          <w:b/>
        </w:rPr>
      </w:pPr>
      <w:r w:rsidRPr="001141A4">
        <w:rPr>
          <w:rFonts w:ascii="Arial" w:hAnsi="Arial" w:cs="Arial"/>
          <w:b/>
        </w:rPr>
        <w:t>Organisation et faisabilité du projet</w:t>
      </w:r>
    </w:p>
    <w:p w14:paraId="32CC62FE" w14:textId="77777777" w:rsidR="005D56AE" w:rsidRPr="001141A4" w:rsidRDefault="003023B4" w:rsidP="00B6401E">
      <w:pPr>
        <w:numPr>
          <w:ilvl w:val="0"/>
          <w:numId w:val="11"/>
        </w:numPr>
        <w:suppressAutoHyphens/>
        <w:spacing w:before="57" w:after="57" w:line="240" w:lineRule="auto"/>
        <w:jc w:val="both"/>
        <w:rPr>
          <w:rFonts w:ascii="Arial" w:hAnsi="Arial" w:cs="Arial"/>
          <w:b/>
        </w:rPr>
      </w:pPr>
      <w:r w:rsidRPr="001141A4">
        <w:rPr>
          <w:rFonts w:ascii="Arial" w:hAnsi="Arial" w:cs="Arial"/>
          <w:b/>
        </w:rPr>
        <w:t>Adéquation du projet à un besoin en données ou en connaissance</w:t>
      </w:r>
    </w:p>
    <w:p w14:paraId="65FE8B15" w14:textId="77777777" w:rsidR="00912372" w:rsidRPr="001141A4" w:rsidRDefault="00912372" w:rsidP="00B6401E">
      <w:pPr>
        <w:suppressAutoHyphens/>
        <w:spacing w:before="57" w:after="57" w:line="240" w:lineRule="auto"/>
        <w:ind w:left="360"/>
        <w:jc w:val="both"/>
        <w:rPr>
          <w:rFonts w:ascii="Arial" w:hAnsi="Arial" w:cs="Arial"/>
          <w:b/>
        </w:rPr>
      </w:pPr>
    </w:p>
    <w:p w14:paraId="712A892E" w14:textId="77777777" w:rsidR="00912372" w:rsidRPr="001141A4" w:rsidRDefault="00912372" w:rsidP="00B6401E">
      <w:pPr>
        <w:suppressAutoHyphens/>
        <w:spacing w:before="57" w:after="57" w:line="240" w:lineRule="auto"/>
        <w:jc w:val="both"/>
        <w:rPr>
          <w:rFonts w:ascii="Arial" w:hAnsi="Arial" w:cs="Arial"/>
        </w:rPr>
      </w:pPr>
      <w:r w:rsidRPr="001141A4">
        <w:rPr>
          <w:rFonts w:ascii="Arial" w:hAnsi="Arial" w:cs="Arial"/>
        </w:rPr>
        <w:t>Pour le volet 4, la sélection des projets d’appuiera sur le critère de sélection suivant :</w:t>
      </w:r>
    </w:p>
    <w:p w14:paraId="07DDA0C7" w14:textId="77777777" w:rsidR="00912372" w:rsidRPr="001141A4" w:rsidRDefault="00912372" w:rsidP="00912372">
      <w:pPr>
        <w:numPr>
          <w:ilvl w:val="0"/>
          <w:numId w:val="11"/>
        </w:numPr>
        <w:suppressAutoHyphens/>
        <w:spacing w:before="57" w:after="57" w:line="240" w:lineRule="auto"/>
        <w:jc w:val="both"/>
        <w:rPr>
          <w:rFonts w:ascii="Arial" w:hAnsi="Arial" w:cs="Arial"/>
          <w:b/>
        </w:rPr>
      </w:pPr>
      <w:r w:rsidRPr="001141A4">
        <w:rPr>
          <w:rFonts w:ascii="Arial" w:hAnsi="Arial" w:cs="Arial"/>
          <w:b/>
        </w:rPr>
        <w:t>Organisation et faisabilité du projet</w:t>
      </w:r>
    </w:p>
    <w:p w14:paraId="5C6D9788" w14:textId="77777777" w:rsidR="00912372" w:rsidRPr="001141A4" w:rsidRDefault="00912372" w:rsidP="00B6401E">
      <w:pPr>
        <w:suppressAutoHyphens/>
        <w:spacing w:before="57" w:after="57" w:line="240" w:lineRule="auto"/>
        <w:jc w:val="both"/>
        <w:rPr>
          <w:rFonts w:ascii="Arial" w:hAnsi="Arial" w:cs="Arial"/>
        </w:rPr>
      </w:pPr>
    </w:p>
    <w:p w14:paraId="735B20CF" w14:textId="77777777" w:rsidR="00FC12B5" w:rsidRPr="001141A4" w:rsidRDefault="00FC12B5" w:rsidP="00706BA6">
      <w:pPr>
        <w:spacing w:before="57" w:after="57"/>
        <w:rPr>
          <w:rFonts w:ascii="Arial" w:hAnsi="Arial" w:cs="Arial"/>
        </w:rPr>
      </w:pPr>
      <w:r w:rsidRPr="001141A4">
        <w:rPr>
          <w:rFonts w:ascii="Arial" w:hAnsi="Arial" w:cs="Arial"/>
        </w:rPr>
        <w:t>Les projets seront notés sur la base d’une grille de notation fournie en annexe 2.</w:t>
      </w:r>
    </w:p>
    <w:p w14:paraId="0A068E54"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12" w:name="_Toc65595686"/>
      <w:r w:rsidRPr="001141A4">
        <w:rPr>
          <w:rFonts w:ascii="Arial" w:hAnsi="Arial" w:cs="Arial"/>
          <w:b/>
          <w:color w:val="31849B"/>
          <w:sz w:val="28"/>
          <w:szCs w:val="28"/>
        </w:rPr>
        <w:t>Intensités d’aide publique et taux de cofinancement FEAMP</w:t>
      </w:r>
      <w:bookmarkEnd w:id="12"/>
    </w:p>
    <w:p w14:paraId="388ED9FF" w14:textId="77777777" w:rsidR="00FC12B5" w:rsidRPr="001141A4" w:rsidRDefault="00FC12B5" w:rsidP="009F00A1">
      <w:pPr>
        <w:pStyle w:val="Paragraphedeliste"/>
        <w:numPr>
          <w:ilvl w:val="1"/>
          <w:numId w:val="1"/>
        </w:numPr>
        <w:spacing w:before="240" w:after="240" w:line="240" w:lineRule="auto"/>
        <w:ind w:left="1077"/>
        <w:jc w:val="both"/>
        <w:outlineLvl w:val="1"/>
        <w:rPr>
          <w:rFonts w:ascii="Arial" w:hAnsi="Arial" w:cs="Arial"/>
          <w:b/>
        </w:rPr>
      </w:pPr>
      <w:bookmarkStart w:id="13" w:name="_Toc391406189"/>
      <w:bookmarkStart w:id="14" w:name="_Toc447642083"/>
      <w:bookmarkStart w:id="15" w:name="_Toc65595687"/>
      <w:r w:rsidRPr="001141A4">
        <w:rPr>
          <w:rFonts w:ascii="Arial" w:hAnsi="Arial" w:cs="Arial"/>
          <w:b/>
        </w:rPr>
        <w:t>Intensité d’aides publiques</w:t>
      </w:r>
      <w:bookmarkEnd w:id="13"/>
      <w:bookmarkEnd w:id="14"/>
      <w:bookmarkEnd w:id="15"/>
      <w:r w:rsidRPr="001141A4">
        <w:rPr>
          <w:rFonts w:ascii="Arial" w:hAnsi="Arial" w:cs="Arial"/>
          <w:b/>
        </w:rPr>
        <w:t xml:space="preserve"> </w:t>
      </w:r>
    </w:p>
    <w:p w14:paraId="5B4DEF4A" w14:textId="77777777" w:rsidR="00FC12B5" w:rsidRPr="001141A4" w:rsidRDefault="00FC12B5" w:rsidP="00706BA6">
      <w:pPr>
        <w:spacing w:before="57" w:after="57"/>
        <w:jc w:val="both"/>
        <w:rPr>
          <w:rFonts w:ascii="Arial" w:hAnsi="Arial" w:cs="Arial"/>
        </w:rPr>
      </w:pPr>
      <w:r w:rsidRPr="001141A4">
        <w:rPr>
          <w:rFonts w:ascii="Arial" w:hAnsi="Arial" w:cs="Arial"/>
        </w:rPr>
        <w:t xml:space="preserve">L’intensité de l’aide publique appliquée à la mesure est de 50% [cf. art 95 du règlement FEAMP], sauf exceptions règlementaires portant sur la nature des </w:t>
      </w:r>
      <w:r w:rsidR="00467C38" w:rsidRPr="001141A4">
        <w:rPr>
          <w:rFonts w:ascii="Arial" w:hAnsi="Arial" w:cs="Arial"/>
        </w:rPr>
        <w:t xml:space="preserve">bénéficiaires ou des opérations. </w:t>
      </w:r>
      <w:r w:rsidRPr="001141A4">
        <w:rPr>
          <w:rFonts w:ascii="Arial" w:hAnsi="Arial" w:cs="Arial"/>
        </w:rPr>
        <w:t>L’intensité de l’aide publique ne peut pas dépasser 80%.</w:t>
      </w:r>
    </w:p>
    <w:p w14:paraId="57E1DA0D" w14:textId="77777777" w:rsidR="00FC12B5" w:rsidRPr="001141A4" w:rsidRDefault="00FC12B5" w:rsidP="009F00A1">
      <w:pPr>
        <w:pStyle w:val="Paragraphedeliste"/>
        <w:numPr>
          <w:ilvl w:val="1"/>
          <w:numId w:val="1"/>
        </w:numPr>
        <w:spacing w:before="240" w:after="240" w:line="240" w:lineRule="auto"/>
        <w:ind w:left="1077"/>
        <w:jc w:val="both"/>
        <w:outlineLvl w:val="1"/>
        <w:rPr>
          <w:rFonts w:ascii="Arial" w:hAnsi="Arial" w:cs="Arial"/>
          <w:b/>
        </w:rPr>
      </w:pPr>
      <w:bookmarkStart w:id="16" w:name="_Toc391406190"/>
      <w:bookmarkStart w:id="17" w:name="_Toc447642084"/>
      <w:bookmarkStart w:id="18" w:name="_Toc65595688"/>
      <w:r w:rsidRPr="001141A4">
        <w:rPr>
          <w:rFonts w:ascii="Arial" w:hAnsi="Arial" w:cs="Arial"/>
          <w:b/>
        </w:rPr>
        <w:t>Taux de cofinancement FEAMP</w:t>
      </w:r>
      <w:bookmarkEnd w:id="16"/>
      <w:bookmarkEnd w:id="17"/>
      <w:bookmarkEnd w:id="18"/>
      <w:r w:rsidRPr="001141A4">
        <w:rPr>
          <w:rFonts w:ascii="Arial" w:hAnsi="Arial" w:cs="Arial"/>
          <w:b/>
        </w:rPr>
        <w:t xml:space="preserve"> </w:t>
      </w:r>
    </w:p>
    <w:p w14:paraId="0E76FB58" w14:textId="77777777" w:rsidR="00FC12B5" w:rsidRPr="001141A4" w:rsidRDefault="00FC12B5" w:rsidP="00706BA6">
      <w:pPr>
        <w:spacing w:before="57" w:after="57"/>
        <w:rPr>
          <w:rFonts w:ascii="Arial" w:hAnsi="Arial" w:cs="Arial"/>
          <w:color w:val="000000"/>
        </w:rPr>
      </w:pPr>
      <w:r w:rsidRPr="001141A4">
        <w:rPr>
          <w:rFonts w:ascii="Arial" w:hAnsi="Arial" w:cs="Arial"/>
          <w:color w:val="000000"/>
        </w:rPr>
        <w:t>Le taux de cofinancement FEAMP est fixé à 75% de l’intensité d’aides publiques.</w:t>
      </w:r>
    </w:p>
    <w:p w14:paraId="0595118D"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19" w:name="_Toc391406191"/>
      <w:bookmarkStart w:id="20" w:name="_Toc447642085"/>
      <w:bookmarkStart w:id="21" w:name="_Toc65595689"/>
      <w:r w:rsidRPr="001141A4">
        <w:rPr>
          <w:rFonts w:ascii="Arial" w:hAnsi="Arial" w:cs="Arial"/>
          <w:b/>
          <w:color w:val="31849B"/>
          <w:sz w:val="28"/>
          <w:szCs w:val="28"/>
        </w:rPr>
        <w:t>Principales contreparties publiques nationales</w:t>
      </w:r>
      <w:bookmarkEnd w:id="19"/>
      <w:bookmarkEnd w:id="20"/>
      <w:bookmarkEnd w:id="21"/>
    </w:p>
    <w:p w14:paraId="42CEF2A3" w14:textId="77777777" w:rsidR="00FC12B5" w:rsidRPr="001141A4" w:rsidRDefault="00FC12B5" w:rsidP="00B6401E">
      <w:pPr>
        <w:pStyle w:val="Retraitcorpsdetexte21"/>
        <w:spacing w:before="57" w:after="57"/>
        <w:ind w:left="0"/>
        <w:rPr>
          <w:b/>
          <w:color w:val="31849B"/>
          <w:sz w:val="28"/>
          <w:szCs w:val="28"/>
        </w:rPr>
      </w:pPr>
      <w:r w:rsidRPr="001141A4">
        <w:rPr>
          <w:szCs w:val="22"/>
        </w:rPr>
        <w:t>La contrepartie publique nationale (CPN) sera apportée par l’Etat</w:t>
      </w:r>
      <w:r w:rsidR="00CA2FEF" w:rsidRPr="001141A4">
        <w:rPr>
          <w:szCs w:val="22"/>
        </w:rPr>
        <w:t>.</w:t>
      </w:r>
      <w:r w:rsidRPr="001141A4">
        <w:rPr>
          <w:b/>
          <w:color w:val="31849B"/>
          <w:sz w:val="28"/>
          <w:szCs w:val="28"/>
        </w:rPr>
        <w:br w:type="page"/>
      </w:r>
    </w:p>
    <w:p w14:paraId="183F3BB2"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22" w:name="_Toc65595690"/>
      <w:r w:rsidRPr="001141A4">
        <w:rPr>
          <w:rFonts w:ascii="Arial" w:hAnsi="Arial" w:cs="Arial"/>
          <w:b/>
          <w:color w:val="31849B"/>
          <w:sz w:val="28"/>
          <w:szCs w:val="28"/>
        </w:rPr>
        <w:lastRenderedPageBreak/>
        <w:t>Calendrier prévisionnel</w:t>
      </w:r>
      <w:bookmarkEnd w:id="22"/>
    </w:p>
    <w:p w14:paraId="4CE1E565" w14:textId="77777777" w:rsidR="00FC12B5" w:rsidRPr="001141A4" w:rsidRDefault="00FC12B5" w:rsidP="004F00B1">
      <w:pPr>
        <w:pStyle w:val="Retraitcorpsdetexte21"/>
        <w:spacing w:before="57" w:after="57"/>
        <w:ind w:left="0"/>
        <w:rPr>
          <w:szCs w:val="22"/>
        </w:rPr>
      </w:pPr>
      <w:r w:rsidRPr="001141A4">
        <w:rPr>
          <w:szCs w:val="22"/>
        </w:rPr>
        <w:t xml:space="preserve">L'appel à projet </w:t>
      </w:r>
      <w:r w:rsidR="006745EC">
        <w:rPr>
          <w:szCs w:val="22"/>
        </w:rPr>
        <w:t>2021</w:t>
      </w:r>
      <w:r w:rsidR="009676A9" w:rsidRPr="001141A4">
        <w:rPr>
          <w:szCs w:val="22"/>
        </w:rPr>
        <w:t xml:space="preserve"> s</w:t>
      </w:r>
      <w:r w:rsidRPr="001141A4">
        <w:rPr>
          <w:szCs w:val="22"/>
        </w:rPr>
        <w:t>e déroulera selon le calendrier suivant :</w:t>
      </w:r>
    </w:p>
    <w:p w14:paraId="112A2358" w14:textId="77777777" w:rsidR="009676A9" w:rsidRPr="001141A4" w:rsidRDefault="009676A9" w:rsidP="004F00B1">
      <w:pPr>
        <w:pStyle w:val="Retraitcorpsdetexte21"/>
        <w:spacing w:before="57" w:after="57"/>
        <w:ind w:left="0"/>
        <w:rPr>
          <w:szCs w:val="22"/>
        </w:rPr>
      </w:pPr>
    </w:p>
    <w:p w14:paraId="189A9DAB" w14:textId="335C9A47" w:rsidR="009676A9" w:rsidRPr="001141A4" w:rsidRDefault="002C2CD8" w:rsidP="009676A9">
      <w:pPr>
        <w:pStyle w:val="Retraitcorpsdetexte21"/>
        <w:spacing w:before="57" w:after="57"/>
        <w:ind w:left="0"/>
        <w:rPr>
          <w:szCs w:val="22"/>
        </w:rPr>
      </w:pPr>
      <w:r>
        <w:rPr>
          <w:b/>
          <w:szCs w:val="22"/>
        </w:rPr>
        <w:t xml:space="preserve">8 mars </w:t>
      </w:r>
      <w:r w:rsidR="006745EC">
        <w:rPr>
          <w:b/>
          <w:szCs w:val="22"/>
        </w:rPr>
        <w:t>2021</w:t>
      </w:r>
      <w:r w:rsidR="009676A9" w:rsidRPr="001141A4">
        <w:rPr>
          <w:b/>
          <w:szCs w:val="22"/>
        </w:rPr>
        <w:t xml:space="preserve"> :</w:t>
      </w:r>
      <w:r w:rsidR="009676A9" w:rsidRPr="001141A4">
        <w:rPr>
          <w:szCs w:val="22"/>
        </w:rPr>
        <w:t xml:space="preserve"> Lancement de l’appel à projet.</w:t>
      </w:r>
    </w:p>
    <w:p w14:paraId="7E9F7385" w14:textId="77777777" w:rsidR="009676A9" w:rsidRPr="001141A4" w:rsidRDefault="009676A9" w:rsidP="009676A9">
      <w:pPr>
        <w:pStyle w:val="Retraitcorpsdetexte21"/>
        <w:spacing w:before="57" w:after="57"/>
        <w:ind w:left="0"/>
        <w:rPr>
          <w:szCs w:val="22"/>
        </w:rPr>
      </w:pPr>
    </w:p>
    <w:p w14:paraId="461FC3AE" w14:textId="02C67F8E" w:rsidR="009676A9" w:rsidRPr="001141A4" w:rsidRDefault="002C2CD8" w:rsidP="009676A9">
      <w:pPr>
        <w:pStyle w:val="Retraitcorpsdetexte21"/>
        <w:spacing w:before="57" w:after="57"/>
        <w:ind w:left="0"/>
        <w:rPr>
          <w:szCs w:val="22"/>
        </w:rPr>
      </w:pPr>
      <w:r>
        <w:rPr>
          <w:b/>
          <w:szCs w:val="22"/>
        </w:rPr>
        <w:t>7</w:t>
      </w:r>
      <w:r w:rsidR="006745EC">
        <w:rPr>
          <w:b/>
          <w:szCs w:val="22"/>
        </w:rPr>
        <w:t xml:space="preserve"> mai 2021</w:t>
      </w:r>
      <w:r w:rsidR="009676A9" w:rsidRPr="001141A4">
        <w:rPr>
          <w:b/>
          <w:szCs w:val="22"/>
        </w:rPr>
        <w:t xml:space="preserve"> :</w:t>
      </w:r>
      <w:r w:rsidR="009676A9" w:rsidRPr="001141A4">
        <w:rPr>
          <w:szCs w:val="22"/>
        </w:rPr>
        <w:t xml:space="preserve"> Date limite d’envoi de la </w:t>
      </w:r>
      <w:r w:rsidR="009676A9" w:rsidRPr="001141A4">
        <w:rPr>
          <w:b/>
          <w:szCs w:val="22"/>
        </w:rPr>
        <w:t xml:space="preserve">fiche résumé </w:t>
      </w:r>
      <w:r w:rsidR="009676A9" w:rsidRPr="001141A4">
        <w:rPr>
          <w:szCs w:val="22"/>
        </w:rPr>
        <w:t xml:space="preserve">du projet téléchargeable sur le site de lancement de l’appel à projets. A des fins d’organisation de l’instruction, les porteurs de projet doivent impérativement envoyer la fiche résumé du projet dûment remplie à l’adresse suivante : </w:t>
      </w:r>
      <w:hyperlink r:id="rId11" w:history="1">
        <w:r w:rsidR="009676A9" w:rsidRPr="001141A4">
          <w:rPr>
            <w:rStyle w:val="Lienhypertexte"/>
            <w:rFonts w:cs="Arial"/>
            <w:szCs w:val="22"/>
          </w:rPr>
          <w:t>aapfeamp2840.dpma@agriculture.gouv.fr</w:t>
        </w:r>
      </w:hyperlink>
      <w:r w:rsidR="009676A9" w:rsidRPr="001141A4">
        <w:rPr>
          <w:szCs w:val="22"/>
        </w:rPr>
        <w:t>. La DPMA orientera par retour de mail le porteur de projet vers le service compétent pour l’instruction de son dossier.</w:t>
      </w:r>
    </w:p>
    <w:p w14:paraId="4BA2C88C" w14:textId="77777777" w:rsidR="009676A9" w:rsidRPr="001141A4" w:rsidRDefault="009676A9" w:rsidP="009676A9">
      <w:pPr>
        <w:pStyle w:val="Retraitcorpsdetexte21"/>
        <w:spacing w:before="57" w:after="57"/>
        <w:ind w:left="0"/>
        <w:rPr>
          <w:szCs w:val="22"/>
        </w:rPr>
      </w:pPr>
    </w:p>
    <w:p w14:paraId="3EF470A3" w14:textId="3742D8C5" w:rsidR="009676A9" w:rsidRPr="001141A4" w:rsidRDefault="002C2CD8" w:rsidP="009676A9">
      <w:pPr>
        <w:pStyle w:val="Retraitcorpsdetexte21"/>
        <w:spacing w:before="57" w:after="57"/>
        <w:ind w:left="0"/>
        <w:rPr>
          <w:szCs w:val="22"/>
        </w:rPr>
      </w:pPr>
      <w:r>
        <w:rPr>
          <w:b/>
          <w:szCs w:val="22"/>
        </w:rPr>
        <w:t>28 mai</w:t>
      </w:r>
      <w:r w:rsidR="006745EC">
        <w:rPr>
          <w:b/>
          <w:szCs w:val="22"/>
        </w:rPr>
        <w:t xml:space="preserve"> 2021</w:t>
      </w:r>
      <w:r w:rsidR="009676A9" w:rsidRPr="001141A4">
        <w:rPr>
          <w:b/>
          <w:szCs w:val="22"/>
        </w:rPr>
        <w:t xml:space="preserve"> :</w:t>
      </w:r>
      <w:r w:rsidR="009676A9" w:rsidRPr="001141A4">
        <w:rPr>
          <w:szCs w:val="22"/>
        </w:rPr>
        <w:t xml:space="preserve"> Clôture de l’appel à projet. Les dossiers complets de réponse à l’appel à projets doivent être envoyés au service instructeur désigné par la DPMA impérativement avant cette date. Tout dossier envoyé au-delà de cette date sera considéré comme non éligible.</w:t>
      </w:r>
    </w:p>
    <w:p w14:paraId="4291E585" w14:textId="77777777" w:rsidR="009676A9" w:rsidRPr="001141A4" w:rsidRDefault="009676A9" w:rsidP="009676A9">
      <w:pPr>
        <w:pStyle w:val="Retraitcorpsdetexte21"/>
        <w:spacing w:before="57" w:after="57"/>
        <w:ind w:left="0"/>
        <w:rPr>
          <w:szCs w:val="22"/>
        </w:rPr>
      </w:pPr>
    </w:p>
    <w:p w14:paraId="721F0404" w14:textId="48A9359E" w:rsidR="009676A9" w:rsidRPr="001141A4" w:rsidRDefault="006745EC" w:rsidP="00682170">
      <w:pPr>
        <w:pStyle w:val="Retraitcorpsdetexte21"/>
        <w:ind w:left="0"/>
        <w:rPr>
          <w:szCs w:val="22"/>
        </w:rPr>
      </w:pPr>
      <w:r>
        <w:rPr>
          <w:b/>
          <w:szCs w:val="22"/>
        </w:rPr>
        <w:t>A partir de septembre 2021</w:t>
      </w:r>
      <w:r w:rsidR="009676A9" w:rsidRPr="001141A4">
        <w:rPr>
          <w:b/>
          <w:szCs w:val="22"/>
        </w:rPr>
        <w:t xml:space="preserve"> :</w:t>
      </w:r>
      <w:r w:rsidR="009676A9" w:rsidRPr="001141A4">
        <w:rPr>
          <w:szCs w:val="22"/>
        </w:rPr>
        <w:t xml:space="preserve"> </w:t>
      </w:r>
      <w:r w:rsidR="00AD01B7" w:rsidRPr="001141A4">
        <w:rPr>
          <w:szCs w:val="22"/>
        </w:rPr>
        <w:t xml:space="preserve">Sélection des dossiers par le Comité National de Sélection du FEAMP. </w:t>
      </w:r>
      <w:r w:rsidR="00AD01B7">
        <w:rPr>
          <w:szCs w:val="22"/>
        </w:rPr>
        <w:t xml:space="preserve">L’instruction des dossiers devra être finalisée au plus tard le 3 septembre 2021. Tous </w:t>
      </w:r>
      <w:r w:rsidR="00682170" w:rsidRPr="001141A4">
        <w:rPr>
          <w:szCs w:val="22"/>
        </w:rPr>
        <w:t xml:space="preserve">les projets déposés </w:t>
      </w:r>
      <w:r w:rsidR="00AD01B7">
        <w:rPr>
          <w:szCs w:val="22"/>
        </w:rPr>
        <w:t>devront être</w:t>
      </w:r>
      <w:r w:rsidR="00AD01B7" w:rsidRPr="001141A4">
        <w:rPr>
          <w:szCs w:val="22"/>
        </w:rPr>
        <w:t xml:space="preserve"> </w:t>
      </w:r>
      <w:r w:rsidR="00682170" w:rsidRPr="001141A4">
        <w:rPr>
          <w:szCs w:val="22"/>
        </w:rPr>
        <w:t xml:space="preserve">examinés </w:t>
      </w:r>
      <w:r w:rsidR="00AD01B7">
        <w:rPr>
          <w:szCs w:val="22"/>
        </w:rPr>
        <w:t xml:space="preserve">par le Comité National de Sélection du FEAMP </w:t>
      </w:r>
      <w:r w:rsidR="00682170" w:rsidRPr="001141A4">
        <w:rPr>
          <w:szCs w:val="22"/>
        </w:rPr>
        <w:t xml:space="preserve">au plus tard </w:t>
      </w:r>
      <w:r w:rsidR="002C2CD8">
        <w:rPr>
          <w:szCs w:val="22"/>
        </w:rPr>
        <w:t>fin</w:t>
      </w:r>
      <w:r w:rsidR="00682170" w:rsidRPr="001141A4">
        <w:rPr>
          <w:szCs w:val="22"/>
        </w:rPr>
        <w:t xml:space="preserve"> </w:t>
      </w:r>
      <w:r w:rsidR="00ED2C04">
        <w:rPr>
          <w:szCs w:val="22"/>
        </w:rPr>
        <w:t>septembre 2021</w:t>
      </w:r>
      <w:r w:rsidR="00682170" w:rsidRPr="001141A4">
        <w:rPr>
          <w:szCs w:val="22"/>
        </w:rPr>
        <w:t xml:space="preserve">. </w:t>
      </w:r>
    </w:p>
    <w:p w14:paraId="2AEA1274" w14:textId="77777777" w:rsidR="00682170" w:rsidRPr="001141A4" w:rsidRDefault="00682170" w:rsidP="00682170">
      <w:pPr>
        <w:pStyle w:val="Retraitcorpsdetexte21"/>
        <w:ind w:left="0"/>
        <w:rPr>
          <w:szCs w:val="22"/>
        </w:rPr>
      </w:pPr>
    </w:p>
    <w:p w14:paraId="6927FF3A" w14:textId="1E7ACED5" w:rsidR="00AD01B7" w:rsidRPr="001141A4" w:rsidRDefault="009676A9" w:rsidP="00682170">
      <w:pPr>
        <w:pStyle w:val="Retraitcorpsdetexte21"/>
        <w:spacing w:before="57" w:after="57"/>
        <w:ind w:left="0"/>
        <w:rPr>
          <w:szCs w:val="22"/>
        </w:rPr>
      </w:pPr>
      <w:r w:rsidRPr="001141A4">
        <w:rPr>
          <w:b/>
          <w:szCs w:val="22"/>
        </w:rPr>
        <w:t xml:space="preserve">A partir de </w:t>
      </w:r>
      <w:r w:rsidR="006745EC">
        <w:rPr>
          <w:b/>
          <w:szCs w:val="22"/>
        </w:rPr>
        <w:t>septembre 2021</w:t>
      </w:r>
      <w:r w:rsidR="002C2CD8">
        <w:rPr>
          <w:b/>
          <w:szCs w:val="22"/>
        </w:rPr>
        <w:t xml:space="preserve"> </w:t>
      </w:r>
      <w:r w:rsidRPr="001141A4">
        <w:rPr>
          <w:b/>
          <w:szCs w:val="22"/>
        </w:rPr>
        <w:t>:</w:t>
      </w:r>
      <w:r w:rsidRPr="001141A4">
        <w:rPr>
          <w:szCs w:val="22"/>
        </w:rPr>
        <w:t xml:space="preserve"> Engagement comptable et juridique. Les DIRM devront être vigilantes sur les dates d’engament comptables et juridiques face aux deux dates butoirs détaillées ci-dess</w:t>
      </w:r>
      <w:r w:rsidR="002C2CD8">
        <w:rPr>
          <w:szCs w:val="22"/>
        </w:rPr>
        <w:t xml:space="preserve">ous. </w:t>
      </w:r>
    </w:p>
    <w:p w14:paraId="5DA3A6A7" w14:textId="77777777" w:rsidR="009676A9" w:rsidRPr="001141A4" w:rsidRDefault="009676A9" w:rsidP="009676A9">
      <w:pPr>
        <w:pStyle w:val="Retraitcorpsdetexte21"/>
        <w:spacing w:before="57" w:after="57"/>
        <w:ind w:left="0"/>
        <w:rPr>
          <w:szCs w:val="22"/>
        </w:rPr>
      </w:pPr>
    </w:p>
    <w:p w14:paraId="6A3D36E6" w14:textId="501EDF4E" w:rsidR="009676A9" w:rsidRDefault="009676A9" w:rsidP="009676A9">
      <w:pPr>
        <w:pStyle w:val="Retraitcorpsdetexte21"/>
        <w:spacing w:before="57" w:after="57"/>
        <w:ind w:left="0"/>
      </w:pPr>
    </w:p>
    <w:p w14:paraId="6831D409" w14:textId="072E3CF2" w:rsidR="00AD01B7" w:rsidRDefault="00AD01B7" w:rsidP="009676A9">
      <w:pPr>
        <w:pStyle w:val="Retraitcorpsdetexte21"/>
        <w:spacing w:before="57" w:after="57"/>
        <w:ind w:left="0"/>
      </w:pPr>
    </w:p>
    <w:p w14:paraId="3F62AAF0" w14:textId="10C3CA70" w:rsidR="00AD01B7" w:rsidRDefault="00AD01B7" w:rsidP="008261FD">
      <w:pPr>
        <w:pStyle w:val="Retraitcorpsdetexte21"/>
        <w:spacing w:before="57" w:after="57"/>
        <w:ind w:left="0"/>
      </w:pPr>
      <w:r>
        <w:t xml:space="preserve">La fin de la programmation 2014-2021 est fixée au 31 décembre 2021, à partir de cette date il ne sera plus possible de sélectionner des projets. </w:t>
      </w:r>
      <w:bookmarkStart w:id="23" w:name="_GoBack"/>
      <w:r>
        <w:t>Le conventionnement par l’ensemble des parties devr</w:t>
      </w:r>
      <w:r w:rsidR="008F2342">
        <w:t xml:space="preserve">a donc être signé avant le 31 décembre </w:t>
      </w:r>
      <w:r>
        <w:t xml:space="preserve">2021. </w:t>
      </w:r>
      <w:bookmarkEnd w:id="23"/>
    </w:p>
    <w:p w14:paraId="14A38972" w14:textId="1173F975" w:rsidR="00B150EC" w:rsidRPr="008261FD" w:rsidRDefault="00AD01B7" w:rsidP="00B150EC">
      <w:pPr>
        <w:pStyle w:val="Retraitcorpsdetexte21"/>
        <w:spacing w:before="57" w:after="57"/>
        <w:ind w:left="0"/>
        <w:rPr>
          <w:b/>
        </w:rPr>
      </w:pPr>
      <w:r>
        <w:t xml:space="preserve">L'article 65 du règlement 1303/2013 fixe la fin d'éligibilité des dépenses au 31 décembre 2023, aussi afin de respecter ce délai, </w:t>
      </w:r>
      <w:r w:rsidRPr="008261FD">
        <w:rPr>
          <w:b/>
        </w:rPr>
        <w:t>les dates de fin de réalisation des projets et de fourniture des livrables seront prévues au maximum au 30 juin 2023. Les demandes de paiement finales devront être déposées avant</w:t>
      </w:r>
      <w:r w:rsidR="00B150EC">
        <w:rPr>
          <w:b/>
        </w:rPr>
        <w:t xml:space="preserve"> le 30</w:t>
      </w:r>
      <w:r w:rsidRPr="008261FD">
        <w:rPr>
          <w:b/>
        </w:rPr>
        <w:t xml:space="preserve"> septembre 2023.</w:t>
      </w:r>
      <w:r>
        <w:t xml:space="preserve"> </w:t>
      </w:r>
      <w:r w:rsidR="00B150EC">
        <w:t>Aussi, les dates de fin d’opération seront fixées au plus tard le 30 juin 2023 (y compris l’acquittement des dépenses). Les demandes de paiement seront transmises au plus tard le 30 septembre 2023 (sans report de date possible).</w:t>
      </w:r>
    </w:p>
    <w:p w14:paraId="13E4BAED" w14:textId="022DFDC4" w:rsidR="00AD01B7" w:rsidRPr="001141A4" w:rsidRDefault="00AD01B7" w:rsidP="00AD01B7">
      <w:pPr>
        <w:pStyle w:val="Retraitcorpsdetexte21"/>
        <w:spacing w:before="57" w:after="57"/>
        <w:ind w:left="0"/>
      </w:pPr>
      <w:r>
        <w:t>Les services instructeurs devront rester vigilants à ce que la durée de l'opération n'excède pas les dates réglementaires prévues.</w:t>
      </w:r>
    </w:p>
    <w:p w14:paraId="143DCADA" w14:textId="515C3771" w:rsidR="009676A9" w:rsidRPr="001141A4" w:rsidRDefault="009676A9" w:rsidP="008F2342">
      <w:pPr>
        <w:pStyle w:val="Retraitcorpsdetexte21"/>
        <w:spacing w:before="57" w:after="57"/>
        <w:ind w:left="0"/>
        <w:rPr>
          <w:szCs w:val="22"/>
        </w:rPr>
      </w:pPr>
      <w:r w:rsidRPr="001141A4">
        <w:br/>
      </w:r>
    </w:p>
    <w:p w14:paraId="219BCE29" w14:textId="77777777" w:rsidR="009676A9" w:rsidRPr="001141A4" w:rsidRDefault="009676A9" w:rsidP="004F00B1">
      <w:pPr>
        <w:pStyle w:val="Retraitcorpsdetexte21"/>
        <w:spacing w:before="57" w:after="57"/>
        <w:ind w:left="0"/>
        <w:rPr>
          <w:szCs w:val="22"/>
        </w:rPr>
      </w:pPr>
    </w:p>
    <w:p w14:paraId="7140C0E0" w14:textId="77777777" w:rsidR="00FC12B5" w:rsidRPr="001141A4" w:rsidRDefault="00FC12B5" w:rsidP="009F00A1">
      <w:pPr>
        <w:pStyle w:val="Paragraphedeliste"/>
        <w:numPr>
          <w:ilvl w:val="0"/>
          <w:numId w:val="1"/>
        </w:numPr>
        <w:spacing w:before="240" w:after="240" w:line="480" w:lineRule="auto"/>
        <w:ind w:left="714" w:hanging="357"/>
        <w:outlineLvl w:val="0"/>
        <w:rPr>
          <w:rFonts w:ascii="Arial" w:hAnsi="Arial" w:cs="Arial"/>
          <w:b/>
          <w:color w:val="31849B"/>
          <w:sz w:val="28"/>
          <w:szCs w:val="28"/>
        </w:rPr>
      </w:pPr>
      <w:bookmarkStart w:id="24" w:name="_Toc65595691"/>
      <w:r w:rsidRPr="001141A4">
        <w:rPr>
          <w:rFonts w:ascii="Arial" w:hAnsi="Arial" w:cs="Arial"/>
          <w:b/>
          <w:color w:val="31849B"/>
          <w:sz w:val="28"/>
          <w:szCs w:val="28"/>
        </w:rPr>
        <w:t>Composition des dossiers</w:t>
      </w:r>
      <w:bookmarkEnd w:id="24"/>
    </w:p>
    <w:p w14:paraId="5C34443D" w14:textId="77777777" w:rsidR="00467C38" w:rsidRPr="001141A4" w:rsidRDefault="00467C38" w:rsidP="00467C38">
      <w:pPr>
        <w:pStyle w:val="Retraitcorpsdetexte21"/>
        <w:spacing w:before="57" w:after="57"/>
        <w:ind w:left="0"/>
        <w:rPr>
          <w:b/>
          <w:szCs w:val="22"/>
        </w:rPr>
      </w:pPr>
      <w:r w:rsidRPr="001141A4">
        <w:rPr>
          <w:szCs w:val="22"/>
        </w:rPr>
        <w:t xml:space="preserve">Les dossiers de réponse à l’appel à projets déposés </w:t>
      </w:r>
      <w:r w:rsidRPr="001141A4">
        <w:rPr>
          <w:b/>
          <w:szCs w:val="22"/>
        </w:rPr>
        <w:t>devront comprendre l’ensemble des pièces suivantes :</w:t>
      </w:r>
    </w:p>
    <w:p w14:paraId="5C2AC388" w14:textId="77777777" w:rsidR="00467C38" w:rsidRPr="001141A4" w:rsidRDefault="00467C38" w:rsidP="00467C38">
      <w:pPr>
        <w:pStyle w:val="Retraitcorpsdetexte21"/>
        <w:spacing w:before="57" w:after="57"/>
        <w:ind w:left="0"/>
        <w:rPr>
          <w:szCs w:val="22"/>
        </w:rPr>
      </w:pPr>
    </w:p>
    <w:p w14:paraId="6F9C1D68" w14:textId="77777777" w:rsidR="00467C38" w:rsidRPr="001141A4" w:rsidRDefault="00467C38" w:rsidP="00467C38">
      <w:pPr>
        <w:pStyle w:val="Retraitcorpsdetexte21"/>
        <w:numPr>
          <w:ilvl w:val="0"/>
          <w:numId w:val="11"/>
        </w:numPr>
        <w:spacing w:before="57" w:after="57"/>
        <w:rPr>
          <w:szCs w:val="22"/>
        </w:rPr>
      </w:pPr>
      <w:proofErr w:type="gramStart"/>
      <w:r w:rsidRPr="001141A4">
        <w:rPr>
          <w:szCs w:val="22"/>
        </w:rPr>
        <w:t>le</w:t>
      </w:r>
      <w:proofErr w:type="gramEnd"/>
      <w:r w:rsidRPr="001141A4">
        <w:rPr>
          <w:szCs w:val="22"/>
        </w:rPr>
        <w:t xml:space="preserve"> formulaire de demande d’aide dûment rempli</w:t>
      </w:r>
    </w:p>
    <w:p w14:paraId="5321194A" w14:textId="77777777" w:rsidR="00467C38" w:rsidRPr="001141A4" w:rsidRDefault="00467C38" w:rsidP="00467C38">
      <w:pPr>
        <w:pStyle w:val="Retraitcorpsdetexte21"/>
        <w:numPr>
          <w:ilvl w:val="0"/>
          <w:numId w:val="11"/>
        </w:numPr>
        <w:spacing w:before="57" w:after="57"/>
        <w:rPr>
          <w:szCs w:val="22"/>
        </w:rPr>
      </w:pPr>
      <w:proofErr w:type="gramStart"/>
      <w:r w:rsidRPr="001141A4">
        <w:rPr>
          <w:szCs w:val="22"/>
        </w:rPr>
        <w:t>les</w:t>
      </w:r>
      <w:proofErr w:type="gramEnd"/>
      <w:r w:rsidRPr="001141A4">
        <w:rPr>
          <w:szCs w:val="22"/>
        </w:rPr>
        <w:t xml:space="preserve"> annexes techniques à la demande d’aide dûment remplies</w:t>
      </w:r>
    </w:p>
    <w:p w14:paraId="37D40520" w14:textId="77777777" w:rsidR="00467C38" w:rsidRPr="001141A4" w:rsidRDefault="00467C38" w:rsidP="00467C38">
      <w:pPr>
        <w:pStyle w:val="Retraitcorpsdetexte21"/>
        <w:numPr>
          <w:ilvl w:val="0"/>
          <w:numId w:val="11"/>
        </w:numPr>
        <w:spacing w:before="57" w:after="57"/>
        <w:rPr>
          <w:szCs w:val="22"/>
        </w:rPr>
      </w:pPr>
      <w:proofErr w:type="gramStart"/>
      <w:r w:rsidRPr="001141A4">
        <w:rPr>
          <w:szCs w:val="22"/>
        </w:rPr>
        <w:t>le</w:t>
      </w:r>
      <w:proofErr w:type="gramEnd"/>
      <w:r w:rsidRPr="001141A4">
        <w:rPr>
          <w:szCs w:val="22"/>
        </w:rPr>
        <w:t xml:space="preserve"> dossier technique détaillant l’ensemble du projet dûment rempli</w:t>
      </w:r>
    </w:p>
    <w:p w14:paraId="5BD55CE9" w14:textId="77777777" w:rsidR="00467C38" w:rsidRPr="001141A4" w:rsidRDefault="00CA2FEF" w:rsidP="00467C38">
      <w:pPr>
        <w:pStyle w:val="Retraitcorpsdetexte21"/>
        <w:numPr>
          <w:ilvl w:val="0"/>
          <w:numId w:val="11"/>
        </w:numPr>
        <w:spacing w:before="57" w:after="57"/>
        <w:rPr>
          <w:szCs w:val="22"/>
        </w:rPr>
      </w:pPr>
      <w:proofErr w:type="gramStart"/>
      <w:r w:rsidRPr="001141A4">
        <w:rPr>
          <w:szCs w:val="22"/>
        </w:rPr>
        <w:t>pour</w:t>
      </w:r>
      <w:proofErr w:type="gramEnd"/>
      <w:r w:rsidRPr="001141A4">
        <w:rPr>
          <w:szCs w:val="22"/>
        </w:rPr>
        <w:t xml:space="preserve"> les volets 1 à 3, </w:t>
      </w:r>
      <w:r w:rsidR="00467C38" w:rsidRPr="001141A4">
        <w:rPr>
          <w:szCs w:val="22"/>
        </w:rPr>
        <w:t>la convention de partenariat signée par l’ensemble des partenaires</w:t>
      </w:r>
    </w:p>
    <w:p w14:paraId="235A5101" w14:textId="77777777" w:rsidR="00467C38" w:rsidRPr="001141A4" w:rsidRDefault="00467C38" w:rsidP="00467C38">
      <w:pPr>
        <w:pStyle w:val="Retraitcorpsdetexte21"/>
        <w:spacing w:before="57" w:after="57"/>
        <w:ind w:left="720"/>
        <w:rPr>
          <w:szCs w:val="22"/>
        </w:rPr>
      </w:pPr>
    </w:p>
    <w:p w14:paraId="5AE25E97" w14:textId="59C7DCF3" w:rsidR="00467C38" w:rsidRPr="001141A4" w:rsidRDefault="00467C38" w:rsidP="00467C38">
      <w:pPr>
        <w:jc w:val="both"/>
        <w:rPr>
          <w:rFonts w:ascii="Arial" w:hAnsi="Arial" w:cs="Arial"/>
          <w:lang w:eastAsia="zh-CN"/>
        </w:rPr>
      </w:pPr>
      <w:r w:rsidRPr="001141A4">
        <w:rPr>
          <w:rFonts w:ascii="Arial" w:hAnsi="Arial" w:cs="Arial"/>
          <w:lang w:eastAsia="zh-CN"/>
        </w:rPr>
        <w:t xml:space="preserve">Le formulaire de demande d’aide, les annexes techniques à la demande d’aide et le dossier technique à remplir sont téléchargeables sur le site : </w:t>
      </w:r>
      <w:hyperlink r:id="rId12" w:history="1">
        <w:r w:rsidR="008F2342">
          <w:rPr>
            <w:rStyle w:val="Lienhypertexte"/>
          </w:rPr>
          <w:t>https://www.europe-en-france.gouv.fr/fr/programmes-europeens-2014-2020/le-programme-national-feamp</w:t>
        </w:r>
      </w:hyperlink>
      <w:r w:rsidRPr="001141A4">
        <w:rPr>
          <w:rFonts w:ascii="Arial" w:hAnsi="Arial" w:cs="Arial"/>
          <w:lang w:eastAsia="zh-CN"/>
        </w:rPr>
        <w:t>.</w:t>
      </w:r>
      <w:r w:rsidR="00C26073" w:rsidRPr="001141A4">
        <w:rPr>
          <w:rFonts w:ascii="Arial" w:hAnsi="Arial" w:cs="Arial"/>
          <w:lang w:eastAsia="zh-CN"/>
        </w:rPr>
        <w:t xml:space="preserve"> </w:t>
      </w:r>
      <w:r w:rsidRPr="001141A4">
        <w:rPr>
          <w:rFonts w:ascii="Arial" w:hAnsi="Arial" w:cs="Arial"/>
          <w:lang w:eastAsia="zh-CN"/>
        </w:rPr>
        <w:t>Une notice explicative sur le fonctionnement du partenariat dans le cadre du FEAMP et un modèle indicatif de convention de partenariat sont également téléchargeables sur ce site.</w:t>
      </w:r>
    </w:p>
    <w:p w14:paraId="3953AEC8" w14:textId="77777777" w:rsidR="0012189A" w:rsidRPr="001141A4" w:rsidRDefault="0012189A">
      <w:pPr>
        <w:spacing w:after="0" w:line="240" w:lineRule="auto"/>
        <w:rPr>
          <w:rFonts w:ascii="Arial" w:hAnsi="Arial" w:cs="Arial"/>
          <w:lang w:eastAsia="zh-CN"/>
        </w:rPr>
      </w:pPr>
      <w:r w:rsidRPr="001141A4">
        <w:rPr>
          <w:rFonts w:ascii="Arial" w:hAnsi="Arial" w:cs="Arial"/>
          <w:lang w:eastAsia="zh-CN"/>
        </w:rPr>
        <w:br w:type="page"/>
      </w:r>
    </w:p>
    <w:p w14:paraId="5A650605" w14:textId="77777777" w:rsidR="0012189A" w:rsidRPr="001141A4" w:rsidRDefault="0012189A" w:rsidP="00467C38">
      <w:pPr>
        <w:jc w:val="both"/>
        <w:rPr>
          <w:rFonts w:ascii="Arial" w:hAnsi="Arial" w:cs="Arial"/>
          <w:lang w:eastAsia="zh-CN"/>
        </w:rPr>
      </w:pPr>
    </w:p>
    <w:p w14:paraId="70A4E613" w14:textId="77777777" w:rsidR="00FC12B5" w:rsidRPr="001141A4" w:rsidRDefault="00FC12B5">
      <w:pPr>
        <w:rPr>
          <w:rFonts w:ascii="Arial" w:hAnsi="Arial" w:cs="Arial"/>
          <w:lang w:eastAsia="zh-CN"/>
        </w:rPr>
      </w:pPr>
      <w:r w:rsidRPr="001141A4">
        <w:rPr>
          <w:rFonts w:ascii="Arial" w:hAnsi="Arial" w:cs="Arial"/>
          <w:lang w:eastAsia="zh-CN"/>
        </w:rPr>
        <w:br w:type="page"/>
      </w:r>
    </w:p>
    <w:p w14:paraId="011B5533" w14:textId="77777777" w:rsidR="00FC12B5" w:rsidRPr="001141A4" w:rsidRDefault="00FC12B5" w:rsidP="00E03B29">
      <w:pPr>
        <w:spacing w:after="0" w:line="240" w:lineRule="auto"/>
        <w:jc w:val="center"/>
        <w:rPr>
          <w:rFonts w:ascii="Arial" w:hAnsi="Arial" w:cs="Arial"/>
          <w:sz w:val="28"/>
          <w:szCs w:val="28"/>
        </w:rPr>
      </w:pPr>
      <w:r w:rsidRPr="001141A4">
        <w:rPr>
          <w:rFonts w:ascii="Arial" w:hAnsi="Arial" w:cs="Arial"/>
          <w:sz w:val="28"/>
          <w:szCs w:val="28"/>
        </w:rPr>
        <w:lastRenderedPageBreak/>
        <w:t>Annexe 1 : Liste des bénéficiaires éligibles</w:t>
      </w:r>
    </w:p>
    <w:p w14:paraId="10A04764" w14:textId="77777777" w:rsidR="00FC12B5" w:rsidRPr="001141A4" w:rsidRDefault="00FC12B5" w:rsidP="00E03B29">
      <w:pPr>
        <w:spacing w:after="0" w:line="240" w:lineRule="auto"/>
        <w:jc w:val="both"/>
        <w:rPr>
          <w:rFonts w:ascii="Arial" w:hAnsi="Arial" w:cs="Arial"/>
          <w:sz w:val="28"/>
          <w:szCs w:val="28"/>
          <w:lang w:eastAsia="zh-CN"/>
        </w:rPr>
      </w:pPr>
    </w:p>
    <w:p w14:paraId="6FDF9434" w14:textId="77777777" w:rsidR="00FC12B5" w:rsidRPr="001141A4" w:rsidRDefault="00FC12B5" w:rsidP="00E03B29">
      <w:pPr>
        <w:spacing w:after="0" w:line="240" w:lineRule="auto"/>
        <w:jc w:val="both"/>
        <w:rPr>
          <w:rFonts w:ascii="Arial" w:hAnsi="Arial" w:cs="Arial"/>
          <w:sz w:val="28"/>
          <w:szCs w:val="28"/>
        </w:rPr>
      </w:pPr>
      <w:r w:rsidRPr="001141A4">
        <w:rPr>
          <w:rFonts w:ascii="Arial" w:hAnsi="Arial" w:cs="Arial"/>
          <w:sz w:val="28"/>
          <w:szCs w:val="28"/>
        </w:rPr>
        <w:t>1. Liste des établissements publics ayant des missions de recherche fondamentale et appliquée sur le milieu marin</w:t>
      </w:r>
      <w:r w:rsidR="000B44E8" w:rsidRPr="001141A4">
        <w:rPr>
          <w:rFonts w:ascii="Arial" w:hAnsi="Arial" w:cs="Arial"/>
          <w:sz w:val="28"/>
          <w:szCs w:val="28"/>
        </w:rPr>
        <w:t xml:space="preserve"> (non exhaustive)</w:t>
      </w:r>
    </w:p>
    <w:p w14:paraId="6F45822A" w14:textId="77777777" w:rsidR="00FC12B5" w:rsidRPr="001141A4" w:rsidRDefault="00FC12B5" w:rsidP="00E03B29">
      <w:pPr>
        <w:spacing w:after="0" w:line="240" w:lineRule="auto"/>
        <w:jc w:val="both"/>
        <w:rPr>
          <w:rFonts w:ascii="Arial" w:hAnsi="Arial" w:cs="Arial"/>
          <w:sz w:val="28"/>
          <w:szCs w:val="28"/>
        </w:rPr>
      </w:pPr>
    </w:p>
    <w:p w14:paraId="589F83CF" w14:textId="77777777" w:rsidR="00FC12B5" w:rsidRPr="001141A4" w:rsidRDefault="00FC12B5" w:rsidP="00E03B29">
      <w:pPr>
        <w:pStyle w:val="Paragraphedeliste"/>
        <w:numPr>
          <w:ilvl w:val="0"/>
          <w:numId w:val="10"/>
        </w:numPr>
        <w:spacing w:after="0" w:line="240" w:lineRule="auto"/>
        <w:jc w:val="both"/>
        <w:rPr>
          <w:rFonts w:ascii="Arial" w:hAnsi="Arial" w:cs="Arial"/>
          <w:b/>
        </w:rPr>
      </w:pPr>
      <w:r w:rsidRPr="001141A4">
        <w:rPr>
          <w:rFonts w:ascii="Arial" w:hAnsi="Arial" w:cs="Arial"/>
          <w:b/>
        </w:rPr>
        <w:t>Certains établissements publics à caractère scientifique et technologique (EPST) :</w:t>
      </w:r>
    </w:p>
    <w:p w14:paraId="7A909475" w14:textId="77777777" w:rsidR="00FC12B5" w:rsidRPr="001141A4" w:rsidRDefault="00FC12B5" w:rsidP="00E03B29">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le</w:t>
      </w:r>
      <w:proofErr w:type="gramEnd"/>
      <w:r w:rsidRPr="001141A4">
        <w:rPr>
          <w:rFonts w:ascii="Arial" w:hAnsi="Arial" w:cs="Arial"/>
        </w:rPr>
        <w:t xml:space="preserve"> Centre national de la recherche scientifique (CNRS)</w:t>
      </w:r>
    </w:p>
    <w:p w14:paraId="179C3ACD" w14:textId="77777777" w:rsidR="00FC12B5" w:rsidRPr="001141A4" w:rsidRDefault="00FC12B5" w:rsidP="00E03B29">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l’Institut</w:t>
      </w:r>
      <w:proofErr w:type="gramEnd"/>
      <w:r w:rsidRPr="001141A4">
        <w:rPr>
          <w:rFonts w:ascii="Arial" w:hAnsi="Arial" w:cs="Arial"/>
        </w:rPr>
        <w:t xml:space="preserve"> national de recherche agronomique (INRA)</w:t>
      </w:r>
    </w:p>
    <w:p w14:paraId="5F888C55" w14:textId="77777777" w:rsidR="00FC12B5" w:rsidRPr="001141A4" w:rsidRDefault="00FC12B5" w:rsidP="00E03B29">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l’Institut</w:t>
      </w:r>
      <w:proofErr w:type="gramEnd"/>
      <w:r w:rsidRPr="001141A4">
        <w:rPr>
          <w:rFonts w:ascii="Arial" w:hAnsi="Arial" w:cs="Arial"/>
        </w:rPr>
        <w:t xml:space="preserve"> national de recherche en informatique et en automatique (INRIA)</w:t>
      </w:r>
    </w:p>
    <w:p w14:paraId="147C8C1F" w14:textId="77777777" w:rsidR="00FC12B5" w:rsidRPr="001141A4" w:rsidRDefault="00FC12B5" w:rsidP="00E03B29">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l’Institut</w:t>
      </w:r>
      <w:proofErr w:type="gramEnd"/>
      <w:r w:rsidRPr="001141A4">
        <w:rPr>
          <w:rFonts w:ascii="Arial" w:hAnsi="Arial" w:cs="Arial"/>
        </w:rPr>
        <w:t xml:space="preserve"> de recherche pour le développement (IRD)</w:t>
      </w:r>
    </w:p>
    <w:p w14:paraId="091842AE" w14:textId="77777777" w:rsidR="00FC12B5" w:rsidRPr="001141A4" w:rsidRDefault="00FC12B5" w:rsidP="00E03B29">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l’Institut</w:t>
      </w:r>
      <w:proofErr w:type="gramEnd"/>
      <w:r w:rsidRPr="001141A4">
        <w:rPr>
          <w:rFonts w:ascii="Arial" w:hAnsi="Arial" w:cs="Arial"/>
        </w:rPr>
        <w:t xml:space="preserve"> national de recherche en sciences et technologies pour l'environnement et l'agriculture (IRSTEA)</w:t>
      </w:r>
    </w:p>
    <w:p w14:paraId="02C2B048" w14:textId="77777777" w:rsidR="00FC12B5" w:rsidRPr="001141A4" w:rsidRDefault="00FC12B5" w:rsidP="00E03B29">
      <w:pPr>
        <w:spacing w:after="0" w:line="240" w:lineRule="auto"/>
        <w:ind w:left="714"/>
        <w:jc w:val="both"/>
        <w:rPr>
          <w:rFonts w:ascii="Arial" w:hAnsi="Arial" w:cs="Arial"/>
        </w:rPr>
      </w:pPr>
    </w:p>
    <w:p w14:paraId="01F16DF0" w14:textId="77777777" w:rsidR="00FC12B5" w:rsidRPr="001141A4" w:rsidRDefault="00FC12B5" w:rsidP="00E03B29">
      <w:pPr>
        <w:pStyle w:val="Paragraphedeliste"/>
        <w:numPr>
          <w:ilvl w:val="0"/>
          <w:numId w:val="10"/>
        </w:numPr>
        <w:spacing w:after="0" w:line="240" w:lineRule="auto"/>
        <w:jc w:val="both"/>
        <w:rPr>
          <w:rFonts w:ascii="Arial" w:hAnsi="Arial" w:cs="Arial"/>
          <w:b/>
        </w:rPr>
      </w:pPr>
      <w:r w:rsidRPr="001141A4">
        <w:rPr>
          <w:rFonts w:ascii="Arial" w:hAnsi="Arial" w:cs="Arial"/>
          <w:b/>
        </w:rPr>
        <w:t>Certains Établissement public à caractère industriel et commercial :</w:t>
      </w:r>
    </w:p>
    <w:p w14:paraId="26133103"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Le Centre de coopération internationale en recherche agronomique pour le développement (CIRAD)</w:t>
      </w:r>
    </w:p>
    <w:p w14:paraId="494BF9A1"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L'Institut français de recherche pour l'exploitation de la mer (IFREMER)</w:t>
      </w:r>
    </w:p>
    <w:p w14:paraId="02B47ADF" w14:textId="77777777" w:rsidR="00FC12B5"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Le Bureau de recherches géologiques et minières (BRGM)</w:t>
      </w:r>
    </w:p>
    <w:p w14:paraId="60DA6745" w14:textId="77777777" w:rsidR="00ED2C04" w:rsidRPr="001141A4" w:rsidRDefault="00ED2C04" w:rsidP="00E03B29">
      <w:pPr>
        <w:numPr>
          <w:ilvl w:val="0"/>
          <w:numId w:val="14"/>
        </w:numPr>
        <w:spacing w:after="0" w:line="240" w:lineRule="auto"/>
        <w:ind w:left="714" w:hanging="357"/>
        <w:jc w:val="both"/>
        <w:rPr>
          <w:rFonts w:ascii="Arial" w:hAnsi="Arial" w:cs="Arial"/>
        </w:rPr>
      </w:pPr>
      <w:r>
        <w:rPr>
          <w:rFonts w:ascii="Arial" w:hAnsi="Arial" w:cs="Arial"/>
        </w:rPr>
        <w:t>L’Office de l’Environnement de la Corse (OEC)</w:t>
      </w:r>
    </w:p>
    <w:p w14:paraId="35B8ACFE" w14:textId="77777777" w:rsidR="00FC12B5" w:rsidRPr="001141A4" w:rsidRDefault="00FC12B5" w:rsidP="00E03B29">
      <w:pPr>
        <w:spacing w:after="0" w:line="240" w:lineRule="auto"/>
        <w:jc w:val="both"/>
        <w:rPr>
          <w:rFonts w:ascii="Arial" w:hAnsi="Arial" w:cs="Arial"/>
        </w:rPr>
      </w:pPr>
    </w:p>
    <w:p w14:paraId="08D15E79" w14:textId="77777777" w:rsidR="00FC12B5" w:rsidRPr="001141A4" w:rsidRDefault="00FC12B5" w:rsidP="00E03B29">
      <w:pPr>
        <w:pStyle w:val="Paragraphedeliste"/>
        <w:numPr>
          <w:ilvl w:val="0"/>
          <w:numId w:val="10"/>
        </w:numPr>
        <w:spacing w:after="0" w:line="240" w:lineRule="auto"/>
        <w:jc w:val="both"/>
        <w:rPr>
          <w:rFonts w:ascii="Arial" w:hAnsi="Arial" w:cs="Arial"/>
          <w:b/>
        </w:rPr>
      </w:pPr>
      <w:r w:rsidRPr="001141A4">
        <w:rPr>
          <w:rFonts w:ascii="Arial" w:hAnsi="Arial" w:cs="Arial"/>
          <w:b/>
        </w:rPr>
        <w:t>Les Établissements d'enseignement supérieur et de recherche</w:t>
      </w:r>
    </w:p>
    <w:p w14:paraId="63220565" w14:textId="77777777" w:rsidR="00FC12B5" w:rsidRPr="001141A4" w:rsidRDefault="00FC12B5" w:rsidP="00E03B29">
      <w:pPr>
        <w:spacing w:after="0" w:line="240" w:lineRule="auto"/>
        <w:jc w:val="both"/>
        <w:rPr>
          <w:rFonts w:ascii="Arial" w:hAnsi="Arial" w:cs="Arial"/>
        </w:rPr>
      </w:pPr>
      <w:r w:rsidRPr="001141A4">
        <w:rPr>
          <w:rFonts w:ascii="Arial" w:hAnsi="Arial" w:cs="Arial"/>
        </w:rPr>
        <w:t>Les établissements recensés sur le site du MENESR :</w:t>
      </w:r>
    </w:p>
    <w:p w14:paraId="248D4B79" w14:textId="77777777" w:rsidR="008F2342" w:rsidRDefault="008F2342" w:rsidP="008F2342">
      <w:pPr>
        <w:pStyle w:val="western"/>
      </w:pPr>
      <w:r>
        <w:rPr>
          <w:rFonts w:ascii="Times New Roman" w:hAnsi="Times New Roman" w:cs="Times New Roman"/>
          <w:color w:val="0000FF"/>
          <w:sz w:val="24"/>
          <w:szCs w:val="24"/>
          <w:u w:val="single"/>
        </w:rPr>
        <w:t>https://www.enseignementsup-recherche.gouv.fr/cid148415/etablissements-enseignement-superieur-francais-accredites-delivrer-doctorat.html</w:t>
      </w:r>
    </w:p>
    <w:p w14:paraId="2B35F1CC" w14:textId="63742A45" w:rsidR="00FC12B5" w:rsidRPr="001141A4" w:rsidRDefault="00FC12B5" w:rsidP="00E03B29">
      <w:pPr>
        <w:spacing w:after="0" w:line="240" w:lineRule="auto"/>
        <w:jc w:val="both"/>
        <w:rPr>
          <w:rFonts w:ascii="Arial" w:hAnsi="Arial" w:cs="Arial"/>
        </w:rPr>
      </w:pPr>
      <w:r w:rsidRPr="001141A4">
        <w:rPr>
          <w:rFonts w:ascii="Arial" w:hAnsi="Arial" w:cs="Arial"/>
        </w:rPr>
        <w:t>.</w:t>
      </w:r>
    </w:p>
    <w:p w14:paraId="4F89ED7C" w14:textId="77777777" w:rsidR="00FC12B5" w:rsidRPr="001141A4" w:rsidRDefault="00FC12B5" w:rsidP="00E03B29">
      <w:pPr>
        <w:spacing w:after="0" w:line="240" w:lineRule="auto"/>
        <w:jc w:val="both"/>
        <w:rPr>
          <w:rFonts w:ascii="Arial" w:hAnsi="Arial" w:cs="Arial"/>
          <w:b/>
        </w:rPr>
      </w:pPr>
    </w:p>
    <w:p w14:paraId="796887BC" w14:textId="77777777" w:rsidR="00FC12B5" w:rsidRPr="001141A4" w:rsidRDefault="00FC12B5" w:rsidP="00E03B29">
      <w:pPr>
        <w:pStyle w:val="Paragraphedeliste"/>
        <w:numPr>
          <w:ilvl w:val="0"/>
          <w:numId w:val="10"/>
        </w:numPr>
        <w:spacing w:after="0" w:line="240" w:lineRule="auto"/>
        <w:jc w:val="both"/>
        <w:rPr>
          <w:rFonts w:ascii="Arial" w:hAnsi="Arial" w:cs="Arial"/>
          <w:b/>
        </w:rPr>
      </w:pPr>
      <w:r w:rsidRPr="001141A4">
        <w:rPr>
          <w:rFonts w:ascii="Arial" w:hAnsi="Arial" w:cs="Arial"/>
          <w:b/>
        </w:rPr>
        <w:t>Les structures de coopération des établissements ayant des missions de recherche sur le milieu marin prévues au titre IV du livre III du code de la recherche.</w:t>
      </w:r>
    </w:p>
    <w:p w14:paraId="3A2C2165" w14:textId="77777777" w:rsidR="00FC12B5" w:rsidRPr="001141A4" w:rsidRDefault="00FC12B5" w:rsidP="00E03B29">
      <w:pPr>
        <w:spacing w:after="0" w:line="240" w:lineRule="auto"/>
        <w:jc w:val="both"/>
        <w:rPr>
          <w:rFonts w:ascii="Arial" w:hAnsi="Arial" w:cs="Arial"/>
        </w:rPr>
      </w:pPr>
    </w:p>
    <w:p w14:paraId="4A0A0153" w14:textId="77777777" w:rsidR="00FC12B5" w:rsidRPr="001141A4" w:rsidRDefault="00FC12B5" w:rsidP="00E03B29">
      <w:pPr>
        <w:spacing w:after="0" w:line="240" w:lineRule="auto"/>
        <w:jc w:val="both"/>
        <w:rPr>
          <w:rFonts w:ascii="Arial" w:hAnsi="Arial" w:cs="Arial"/>
          <w:sz w:val="28"/>
          <w:szCs w:val="28"/>
        </w:rPr>
      </w:pPr>
      <w:r w:rsidRPr="001141A4">
        <w:rPr>
          <w:rFonts w:ascii="Arial" w:hAnsi="Arial" w:cs="Arial"/>
          <w:sz w:val="28"/>
          <w:szCs w:val="28"/>
        </w:rPr>
        <w:t>2. Liste des établissements publics ayant des missions d’appui aux politiques publiques pour la protection et la gestion durable du milieu marin et les ressources halieutiques</w:t>
      </w:r>
      <w:r w:rsidR="000B44E8" w:rsidRPr="001141A4">
        <w:rPr>
          <w:rFonts w:ascii="Arial" w:hAnsi="Arial" w:cs="Arial"/>
          <w:sz w:val="28"/>
          <w:szCs w:val="28"/>
        </w:rPr>
        <w:t xml:space="preserve"> (non exhaustive)</w:t>
      </w:r>
    </w:p>
    <w:p w14:paraId="7CE19AA0" w14:textId="77777777" w:rsidR="00FC12B5" w:rsidRPr="001141A4" w:rsidRDefault="00FC12B5" w:rsidP="00E03B29">
      <w:pPr>
        <w:spacing w:after="0" w:line="240" w:lineRule="auto"/>
        <w:jc w:val="both"/>
        <w:rPr>
          <w:rFonts w:ascii="Arial" w:hAnsi="Arial" w:cs="Arial"/>
        </w:rPr>
      </w:pPr>
    </w:p>
    <w:p w14:paraId="75F5E548" w14:textId="77777777" w:rsidR="00FC12B5" w:rsidRPr="001141A4" w:rsidRDefault="00FC12B5" w:rsidP="00E03B29">
      <w:pPr>
        <w:pStyle w:val="Paragraphedeliste"/>
        <w:numPr>
          <w:ilvl w:val="0"/>
          <w:numId w:val="10"/>
        </w:numPr>
        <w:spacing w:after="0" w:line="240" w:lineRule="auto"/>
        <w:jc w:val="both"/>
        <w:rPr>
          <w:rFonts w:ascii="Arial" w:hAnsi="Arial" w:cs="Arial"/>
          <w:b/>
        </w:rPr>
      </w:pPr>
      <w:r w:rsidRPr="001141A4">
        <w:rPr>
          <w:rFonts w:ascii="Arial" w:hAnsi="Arial" w:cs="Arial"/>
          <w:b/>
        </w:rPr>
        <w:t>Certains établissements publics à caractère administratif (EPA) :</w:t>
      </w:r>
    </w:p>
    <w:p w14:paraId="7569F06B" w14:textId="7A868AA8" w:rsidR="00FC12B5" w:rsidRPr="001141A4" w:rsidRDefault="00FC12B5" w:rsidP="008261FD">
      <w:pPr>
        <w:spacing w:after="0" w:line="240" w:lineRule="auto"/>
        <w:ind w:left="714"/>
        <w:jc w:val="both"/>
        <w:rPr>
          <w:rFonts w:ascii="Arial" w:hAnsi="Arial" w:cs="Arial"/>
        </w:rPr>
      </w:pPr>
    </w:p>
    <w:p w14:paraId="7C391D0C"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L'Établissement national des produits de l'agriculture et de la mer (</w:t>
      </w:r>
      <w:proofErr w:type="spellStart"/>
      <w:r w:rsidRPr="001141A4">
        <w:rPr>
          <w:rFonts w:ascii="Arial" w:hAnsi="Arial" w:cs="Arial"/>
        </w:rPr>
        <w:t>FranceAgriMer</w:t>
      </w:r>
      <w:proofErr w:type="spellEnd"/>
      <w:r w:rsidRPr="001141A4">
        <w:rPr>
          <w:rFonts w:ascii="Arial" w:hAnsi="Arial" w:cs="Arial"/>
        </w:rPr>
        <w:t>)</w:t>
      </w:r>
    </w:p>
    <w:p w14:paraId="361C5005"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Parcs nationaux de France (PNF)</w:t>
      </w:r>
    </w:p>
    <w:p w14:paraId="03574EE7" w14:textId="1C832C73" w:rsidR="00FC12B5" w:rsidRPr="00ED2C04" w:rsidRDefault="00FC12B5">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Etablissements publics des Parcs nationaux ayant une partie maritime</w:t>
      </w:r>
    </w:p>
    <w:p w14:paraId="477AA24C" w14:textId="622E692D"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w:t>
      </w:r>
      <w:r w:rsidR="00ED2C04">
        <w:rPr>
          <w:rFonts w:ascii="Arial" w:hAnsi="Arial" w:cs="Arial"/>
        </w:rPr>
        <w:t>Office</w:t>
      </w:r>
      <w:r w:rsidRPr="001141A4">
        <w:rPr>
          <w:rFonts w:ascii="Arial" w:hAnsi="Arial" w:cs="Arial"/>
        </w:rPr>
        <w:t xml:space="preserve"> français de la biodiversité (</w:t>
      </w:r>
      <w:r w:rsidR="00ED2C04">
        <w:rPr>
          <w:rFonts w:ascii="Arial" w:hAnsi="Arial" w:cs="Arial"/>
        </w:rPr>
        <w:t>O</w:t>
      </w:r>
      <w:r w:rsidRPr="001141A4">
        <w:rPr>
          <w:rFonts w:ascii="Arial" w:hAnsi="Arial" w:cs="Arial"/>
        </w:rPr>
        <w:t>FB)</w:t>
      </w:r>
    </w:p>
    <w:p w14:paraId="46B12828"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Les Agences de l’eau</w:t>
      </w:r>
    </w:p>
    <w:p w14:paraId="155E6B9D"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L'Agence nationale chargée de la sécurité sanitaire de l'alimentation, de l'environnement et du travail (ANSES)</w:t>
      </w:r>
    </w:p>
    <w:p w14:paraId="62531AC8"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Le Centre d'études et d'expertise sur les risques, l'environnement, la mobilité et l'aménagement (CEREMA)</w:t>
      </w:r>
    </w:p>
    <w:p w14:paraId="29376611" w14:textId="77777777" w:rsidR="00FC12B5" w:rsidRPr="001141A4" w:rsidRDefault="00FC12B5" w:rsidP="00E03B29">
      <w:pPr>
        <w:numPr>
          <w:ilvl w:val="0"/>
          <w:numId w:val="14"/>
        </w:numPr>
        <w:spacing w:after="0" w:line="240" w:lineRule="auto"/>
        <w:ind w:left="714" w:hanging="357"/>
        <w:jc w:val="both"/>
        <w:rPr>
          <w:rFonts w:ascii="Arial" w:hAnsi="Arial" w:cs="Arial"/>
        </w:rPr>
      </w:pPr>
      <w:r w:rsidRPr="001141A4">
        <w:rPr>
          <w:rFonts w:ascii="Arial" w:hAnsi="Arial" w:cs="Arial"/>
        </w:rPr>
        <w:t>Le Conservatoire de l'espace littoral et des rivages lacustres (CELRL ou Conservatoire du littoral)</w:t>
      </w:r>
    </w:p>
    <w:p w14:paraId="4D5353DF" w14:textId="77777777" w:rsidR="00FC12B5" w:rsidRPr="001141A4" w:rsidRDefault="00FC12B5" w:rsidP="00E03B29">
      <w:pPr>
        <w:spacing w:after="0" w:line="240" w:lineRule="auto"/>
        <w:jc w:val="both"/>
        <w:rPr>
          <w:rFonts w:ascii="Arial" w:hAnsi="Arial" w:cs="Arial"/>
        </w:rPr>
      </w:pPr>
    </w:p>
    <w:p w14:paraId="10C5669C" w14:textId="77777777" w:rsidR="00EE329E" w:rsidRPr="001141A4" w:rsidRDefault="00EE329E" w:rsidP="00EE329E">
      <w:pPr>
        <w:spacing w:after="0" w:line="240" w:lineRule="auto"/>
        <w:jc w:val="both"/>
        <w:rPr>
          <w:rFonts w:ascii="Arial" w:hAnsi="Arial" w:cs="Arial"/>
          <w:sz w:val="28"/>
          <w:szCs w:val="28"/>
        </w:rPr>
      </w:pPr>
      <w:r w:rsidRPr="001141A4">
        <w:rPr>
          <w:rFonts w:ascii="Arial" w:hAnsi="Arial" w:cs="Arial"/>
          <w:sz w:val="28"/>
          <w:szCs w:val="28"/>
        </w:rPr>
        <w:lastRenderedPageBreak/>
        <w:t>3. Liste des organismes techniques ayant des missions d’expertise du milieu marin</w:t>
      </w:r>
      <w:r w:rsidR="000B44E8" w:rsidRPr="001141A4">
        <w:rPr>
          <w:rFonts w:ascii="Arial" w:hAnsi="Arial" w:cs="Arial"/>
          <w:sz w:val="28"/>
          <w:szCs w:val="28"/>
        </w:rPr>
        <w:t xml:space="preserve"> (non exhaustive)</w:t>
      </w:r>
    </w:p>
    <w:p w14:paraId="7FFE24EB" w14:textId="77777777" w:rsidR="00EE329E" w:rsidRPr="001141A4" w:rsidRDefault="00EE329E" w:rsidP="00EE329E">
      <w:pPr>
        <w:spacing w:after="0" w:line="240" w:lineRule="auto"/>
        <w:jc w:val="both"/>
        <w:rPr>
          <w:rFonts w:ascii="Arial" w:hAnsi="Arial" w:cs="Arial"/>
          <w:sz w:val="28"/>
          <w:szCs w:val="28"/>
        </w:rPr>
      </w:pPr>
    </w:p>
    <w:p w14:paraId="53DB38B1" w14:textId="77777777" w:rsidR="00EE329E" w:rsidRPr="001141A4" w:rsidRDefault="00EE329E" w:rsidP="00EE329E">
      <w:pPr>
        <w:pStyle w:val="Paragraphedeliste"/>
        <w:numPr>
          <w:ilvl w:val="0"/>
          <w:numId w:val="10"/>
        </w:numPr>
        <w:spacing w:after="0" w:line="240" w:lineRule="auto"/>
        <w:jc w:val="both"/>
        <w:rPr>
          <w:rFonts w:ascii="Arial" w:hAnsi="Arial" w:cs="Arial"/>
          <w:b/>
        </w:rPr>
      </w:pPr>
      <w:r w:rsidRPr="001141A4">
        <w:rPr>
          <w:rFonts w:ascii="Arial" w:hAnsi="Arial" w:cs="Arial"/>
          <w:b/>
        </w:rPr>
        <w:t>Les centres techniques régionaux :</w:t>
      </w:r>
    </w:p>
    <w:p w14:paraId="1C1AB8BE"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Synergie Mer et Littoral (SMEL)</w:t>
      </w:r>
    </w:p>
    <w:p w14:paraId="482E0DB7"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Syndicat Mixte pour le Développement de l'Aquaculture et de la Pêche des Pays de Loire (SMIDAP)</w:t>
      </w:r>
    </w:p>
    <w:p w14:paraId="29D10444"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L’Association du Grand Littoral Atlantique (</w:t>
      </w:r>
      <w:proofErr w:type="spellStart"/>
      <w:r w:rsidRPr="001141A4">
        <w:rPr>
          <w:rFonts w:ascii="Arial" w:hAnsi="Arial" w:cs="Arial"/>
        </w:rPr>
        <w:t>Aglia</w:t>
      </w:r>
      <w:proofErr w:type="spellEnd"/>
      <w:r w:rsidRPr="001141A4">
        <w:rPr>
          <w:rFonts w:ascii="Arial" w:hAnsi="Arial" w:cs="Arial"/>
        </w:rPr>
        <w:t>)</w:t>
      </w:r>
    </w:p>
    <w:p w14:paraId="529D75ED" w14:textId="77777777" w:rsidR="00EE329E" w:rsidRPr="001141A4" w:rsidRDefault="00EE329E" w:rsidP="00EE329E">
      <w:pPr>
        <w:numPr>
          <w:ilvl w:val="0"/>
          <w:numId w:val="14"/>
        </w:numPr>
        <w:spacing w:after="0" w:line="240" w:lineRule="auto"/>
        <w:ind w:left="714" w:hanging="357"/>
        <w:jc w:val="both"/>
        <w:rPr>
          <w:rStyle w:val="Accentuation"/>
          <w:rFonts w:ascii="Arial" w:hAnsi="Arial" w:cs="Arial"/>
          <w:i w:val="0"/>
        </w:rPr>
      </w:pPr>
      <w:r w:rsidRPr="001141A4">
        <w:rPr>
          <w:rStyle w:val="Accentuation"/>
          <w:rFonts w:ascii="Arial" w:hAnsi="Arial" w:cs="Arial"/>
          <w:i w:val="0"/>
          <w:iCs/>
        </w:rPr>
        <w:t xml:space="preserve">Le </w:t>
      </w:r>
      <w:proofErr w:type="spellStart"/>
      <w:r w:rsidRPr="001141A4">
        <w:rPr>
          <w:rStyle w:val="Accentuation"/>
          <w:rFonts w:ascii="Arial" w:hAnsi="Arial" w:cs="Arial"/>
          <w:i w:val="0"/>
          <w:iCs/>
        </w:rPr>
        <w:t>Cépralmar</w:t>
      </w:r>
      <w:proofErr w:type="spellEnd"/>
    </w:p>
    <w:p w14:paraId="7DC1DB09"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Cellule de Suivi du Littoral Normand (CSLN)</w:t>
      </w:r>
    </w:p>
    <w:p w14:paraId="10FCF596" w14:textId="77777777" w:rsidR="00EE329E" w:rsidRPr="001141A4" w:rsidRDefault="00EE329E" w:rsidP="00EE329E">
      <w:pPr>
        <w:numPr>
          <w:ilvl w:val="0"/>
          <w:numId w:val="14"/>
        </w:numPr>
        <w:spacing w:after="0" w:line="240" w:lineRule="auto"/>
        <w:ind w:left="714" w:hanging="357"/>
        <w:jc w:val="both"/>
        <w:rPr>
          <w:rStyle w:val="Accentuation"/>
          <w:rFonts w:ascii="Arial" w:hAnsi="Arial" w:cs="Arial"/>
          <w:i w:val="0"/>
        </w:rPr>
      </w:pPr>
      <w:r w:rsidRPr="001141A4">
        <w:rPr>
          <w:rStyle w:val="Accentuation"/>
          <w:rFonts w:ascii="Arial" w:hAnsi="Arial" w:cs="Arial"/>
          <w:i w:val="0"/>
          <w:iCs/>
        </w:rPr>
        <w:t>Le Groupe d’Etudes des Milieux Estuariens et Littoraux (GEMEL)</w:t>
      </w:r>
    </w:p>
    <w:p w14:paraId="53664525" w14:textId="77777777" w:rsidR="00EE329E" w:rsidRPr="001141A4" w:rsidRDefault="00EE329E" w:rsidP="00EE329E">
      <w:pPr>
        <w:numPr>
          <w:ilvl w:val="0"/>
          <w:numId w:val="14"/>
        </w:numPr>
        <w:spacing w:after="0" w:line="240" w:lineRule="auto"/>
        <w:ind w:left="714" w:hanging="357"/>
        <w:jc w:val="both"/>
        <w:rPr>
          <w:rStyle w:val="Accentuation"/>
          <w:rFonts w:ascii="Arial" w:hAnsi="Arial" w:cs="Arial"/>
          <w:iCs/>
        </w:rPr>
      </w:pPr>
      <w:r w:rsidRPr="001141A4">
        <w:rPr>
          <w:rStyle w:val="Accentuation"/>
          <w:rFonts w:ascii="Arial" w:hAnsi="Arial" w:cs="Arial"/>
          <w:i w:val="0"/>
          <w:iCs/>
        </w:rPr>
        <w:t>Le Centre Régional d’Expérimentation et d’Application Aquacole (CREAA)</w:t>
      </w:r>
    </w:p>
    <w:p w14:paraId="15778B7D" w14:textId="77777777" w:rsidR="00184506" w:rsidRPr="001141A4" w:rsidRDefault="00184506" w:rsidP="00EE329E">
      <w:pPr>
        <w:numPr>
          <w:ilvl w:val="0"/>
          <w:numId w:val="14"/>
        </w:numPr>
        <w:spacing w:after="0" w:line="240" w:lineRule="auto"/>
        <w:ind w:left="714" w:hanging="357"/>
        <w:jc w:val="both"/>
        <w:rPr>
          <w:rFonts w:ascii="Arial" w:hAnsi="Arial" w:cs="Arial"/>
          <w:i/>
          <w:iCs/>
        </w:rPr>
      </w:pPr>
      <w:r w:rsidRPr="001141A4">
        <w:rPr>
          <w:rStyle w:val="Accentuation"/>
          <w:rFonts w:ascii="Arial" w:hAnsi="Arial" w:cs="Arial"/>
          <w:i w:val="0"/>
          <w:iCs/>
        </w:rPr>
        <w:t>Le groupement d’intérêt scientifique environnement marin (GIS Posidonie)</w:t>
      </w:r>
    </w:p>
    <w:p w14:paraId="262EF53B" w14:textId="77777777" w:rsidR="00EE329E" w:rsidRPr="001141A4" w:rsidRDefault="00EE329E" w:rsidP="00EE329E">
      <w:pPr>
        <w:spacing w:after="0" w:line="240" w:lineRule="auto"/>
        <w:ind w:left="357"/>
        <w:jc w:val="both"/>
        <w:rPr>
          <w:rFonts w:ascii="Arial" w:hAnsi="Arial" w:cs="Arial"/>
          <w:i/>
        </w:rPr>
      </w:pPr>
    </w:p>
    <w:p w14:paraId="7282A276" w14:textId="77777777" w:rsidR="00EE329E" w:rsidRPr="001141A4" w:rsidRDefault="00EE329E" w:rsidP="00EE329E">
      <w:pPr>
        <w:spacing w:after="0" w:line="240" w:lineRule="auto"/>
        <w:jc w:val="both"/>
        <w:rPr>
          <w:rFonts w:ascii="Arial" w:hAnsi="Arial" w:cs="Arial"/>
          <w:sz w:val="28"/>
          <w:szCs w:val="28"/>
        </w:rPr>
      </w:pPr>
      <w:r w:rsidRPr="001141A4">
        <w:rPr>
          <w:rFonts w:ascii="Arial" w:hAnsi="Arial" w:cs="Arial"/>
          <w:sz w:val="28"/>
          <w:szCs w:val="28"/>
        </w:rPr>
        <w:t>4. Liste des organisations professionnelles de la pêche</w:t>
      </w:r>
      <w:r w:rsidR="000B44E8" w:rsidRPr="001141A4">
        <w:rPr>
          <w:rFonts w:ascii="Arial" w:hAnsi="Arial" w:cs="Arial"/>
          <w:sz w:val="28"/>
          <w:szCs w:val="28"/>
        </w:rPr>
        <w:t xml:space="preserve"> (non exhaustive)</w:t>
      </w:r>
    </w:p>
    <w:p w14:paraId="189F7464" w14:textId="77777777" w:rsidR="00EE329E" w:rsidRPr="001141A4" w:rsidRDefault="00EE329E" w:rsidP="00EE329E">
      <w:pPr>
        <w:spacing w:after="0" w:line="240" w:lineRule="auto"/>
        <w:jc w:val="both"/>
        <w:rPr>
          <w:rFonts w:ascii="Arial" w:hAnsi="Arial" w:cs="Arial"/>
          <w:sz w:val="28"/>
          <w:szCs w:val="28"/>
        </w:rPr>
      </w:pPr>
    </w:p>
    <w:p w14:paraId="3840ECFB"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le</w:t>
      </w:r>
      <w:proofErr w:type="gramEnd"/>
      <w:r w:rsidRPr="001141A4">
        <w:rPr>
          <w:rFonts w:ascii="Arial" w:hAnsi="Arial" w:cs="Arial"/>
        </w:rPr>
        <w:t xml:space="preserve"> Comité national, les Comités régionaux et les comités départementaux ou interdépartementaux des pêcheurs maritimes et des élevages marins </w:t>
      </w:r>
    </w:p>
    <w:p w14:paraId="2DD02C0E"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organisations de producteurs et associations d’organisations de producteurs </w:t>
      </w:r>
    </w:p>
    <w:p w14:paraId="2636EAE1"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prud’homies de pêcheurs en Méditerranée</w:t>
      </w:r>
    </w:p>
    <w:p w14:paraId="23DD92C1"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la</w:t>
      </w:r>
      <w:proofErr w:type="gramEnd"/>
      <w:r w:rsidRPr="001141A4">
        <w:rPr>
          <w:rFonts w:ascii="Arial" w:hAnsi="Arial" w:cs="Arial"/>
        </w:rPr>
        <w:t xml:space="preserve"> Chambre de l'agriculture, de la pêche et de l'aquaculture de Mayotte</w:t>
      </w:r>
    </w:p>
    <w:p w14:paraId="0653C7DD"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gramStart"/>
      <w:r w:rsidRPr="001141A4">
        <w:rPr>
          <w:rFonts w:ascii="Arial" w:hAnsi="Arial" w:cs="Arial"/>
        </w:rPr>
        <w:t>les</w:t>
      </w:r>
      <w:proofErr w:type="gramEnd"/>
      <w:r w:rsidRPr="001141A4">
        <w:rPr>
          <w:rFonts w:ascii="Arial" w:hAnsi="Arial" w:cs="Arial"/>
        </w:rPr>
        <w:t xml:space="preserve"> syndicats professionnels du secteur des pêches maritimes</w:t>
      </w:r>
    </w:p>
    <w:p w14:paraId="57272347" w14:textId="77777777" w:rsidR="00EE329E" w:rsidRPr="001141A4" w:rsidRDefault="00EE329E" w:rsidP="00EE329E">
      <w:pPr>
        <w:tabs>
          <w:tab w:val="left" w:pos="2925"/>
        </w:tabs>
        <w:spacing w:after="0" w:line="240" w:lineRule="auto"/>
        <w:jc w:val="both"/>
        <w:rPr>
          <w:rFonts w:ascii="Arial" w:hAnsi="Arial" w:cs="Arial"/>
        </w:rPr>
      </w:pPr>
    </w:p>
    <w:p w14:paraId="13814B43" w14:textId="77777777" w:rsidR="00EE329E" w:rsidRPr="001141A4" w:rsidRDefault="00EE329E" w:rsidP="00EE329E">
      <w:pPr>
        <w:spacing w:after="0" w:line="240" w:lineRule="auto"/>
        <w:jc w:val="both"/>
        <w:rPr>
          <w:rFonts w:ascii="Arial" w:hAnsi="Arial" w:cs="Arial"/>
          <w:sz w:val="28"/>
          <w:szCs w:val="28"/>
        </w:rPr>
      </w:pPr>
      <w:r w:rsidRPr="001141A4">
        <w:rPr>
          <w:rFonts w:ascii="Arial" w:hAnsi="Arial" w:cs="Arial"/>
          <w:sz w:val="28"/>
          <w:szCs w:val="28"/>
        </w:rPr>
        <w:t>5. Liste des organisations non gouvernementales et associations dont les actions sont liées au milieu marin ou à la pêche</w:t>
      </w:r>
      <w:r w:rsidR="000B44E8" w:rsidRPr="001141A4">
        <w:rPr>
          <w:rFonts w:ascii="Arial" w:hAnsi="Arial" w:cs="Arial"/>
          <w:sz w:val="28"/>
          <w:szCs w:val="28"/>
        </w:rPr>
        <w:t xml:space="preserve"> (non exhaustive)</w:t>
      </w:r>
    </w:p>
    <w:p w14:paraId="62311577" w14:textId="77777777" w:rsidR="00EE329E" w:rsidRPr="001141A4" w:rsidRDefault="00EE329E" w:rsidP="00EE329E">
      <w:pPr>
        <w:tabs>
          <w:tab w:val="left" w:pos="2925"/>
        </w:tabs>
        <w:spacing w:after="0" w:line="240" w:lineRule="auto"/>
        <w:jc w:val="both"/>
        <w:rPr>
          <w:rFonts w:ascii="Arial" w:hAnsi="Arial" w:cs="Arial"/>
        </w:rPr>
      </w:pPr>
    </w:p>
    <w:p w14:paraId="1011650D"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Observatoires de la biodiversité</w:t>
      </w:r>
    </w:p>
    <w:p w14:paraId="065E7001"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WWF</w:t>
      </w:r>
    </w:p>
    <w:p w14:paraId="6FFB8664"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Greenpeace</w:t>
      </w:r>
    </w:p>
    <w:p w14:paraId="1F5F94BB"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France Nature Environnement</w:t>
      </w:r>
    </w:p>
    <w:p w14:paraId="30D97AB7"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spellStart"/>
      <w:r w:rsidRPr="001141A4">
        <w:rPr>
          <w:rFonts w:ascii="Arial" w:hAnsi="Arial" w:cs="Arial"/>
        </w:rPr>
        <w:t>Oceana</w:t>
      </w:r>
      <w:proofErr w:type="spellEnd"/>
    </w:p>
    <w:p w14:paraId="22457B79" w14:textId="77777777" w:rsidR="00EE329E" w:rsidRPr="001141A4" w:rsidRDefault="00EE329E" w:rsidP="00EE329E">
      <w:pPr>
        <w:numPr>
          <w:ilvl w:val="0"/>
          <w:numId w:val="14"/>
        </w:numPr>
        <w:spacing w:after="0" w:line="240" w:lineRule="auto"/>
        <w:ind w:left="714" w:hanging="357"/>
        <w:jc w:val="both"/>
        <w:rPr>
          <w:rFonts w:ascii="Arial" w:hAnsi="Arial" w:cs="Arial"/>
        </w:rPr>
      </w:pPr>
      <w:proofErr w:type="spellStart"/>
      <w:r w:rsidRPr="001141A4">
        <w:rPr>
          <w:rFonts w:ascii="Arial" w:hAnsi="Arial" w:cs="Arial"/>
        </w:rPr>
        <w:t>Surfrider</w:t>
      </w:r>
      <w:proofErr w:type="spellEnd"/>
    </w:p>
    <w:p w14:paraId="5E9EA540"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Planète Mer</w:t>
      </w:r>
    </w:p>
    <w:p w14:paraId="07366F5B"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Ligue pour la Protection des Oiseaux</w:t>
      </w:r>
    </w:p>
    <w:p w14:paraId="4E5AA723"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Bloom</w:t>
      </w:r>
    </w:p>
    <w:p w14:paraId="06CAC295" w14:textId="77777777" w:rsidR="00EE329E" w:rsidRPr="001141A4" w:rsidRDefault="00EE329E" w:rsidP="00EE329E">
      <w:pPr>
        <w:numPr>
          <w:ilvl w:val="0"/>
          <w:numId w:val="14"/>
        </w:numPr>
        <w:spacing w:after="0" w:line="240" w:lineRule="auto"/>
        <w:ind w:left="714" w:hanging="357"/>
        <w:jc w:val="both"/>
        <w:rPr>
          <w:rFonts w:ascii="Arial" w:hAnsi="Arial" w:cs="Arial"/>
        </w:rPr>
      </w:pPr>
      <w:r w:rsidRPr="001141A4">
        <w:rPr>
          <w:rFonts w:ascii="Arial" w:hAnsi="Arial" w:cs="Arial"/>
        </w:rPr>
        <w:t>Blue Fish</w:t>
      </w:r>
    </w:p>
    <w:p w14:paraId="2B9791F1" w14:textId="77777777" w:rsidR="00184506" w:rsidRPr="001141A4" w:rsidRDefault="00EE329E" w:rsidP="00EE329E">
      <w:pPr>
        <w:numPr>
          <w:ilvl w:val="0"/>
          <w:numId w:val="14"/>
        </w:numPr>
        <w:spacing w:after="0" w:line="240" w:lineRule="auto"/>
        <w:ind w:left="714" w:hanging="357"/>
        <w:rPr>
          <w:rFonts w:ascii="Arial" w:hAnsi="Arial" w:cs="Arial"/>
        </w:rPr>
      </w:pPr>
      <w:r w:rsidRPr="001141A4">
        <w:rPr>
          <w:rFonts w:ascii="Arial" w:hAnsi="Arial" w:cs="Arial"/>
        </w:rPr>
        <w:t>Association pour l’Etude et la Conservation des Sélaciens</w:t>
      </w:r>
    </w:p>
    <w:p w14:paraId="70C68CC9" w14:textId="77777777" w:rsidR="00184506" w:rsidRPr="001141A4" w:rsidRDefault="00184506">
      <w:pPr>
        <w:spacing w:after="0" w:line="240" w:lineRule="auto"/>
        <w:rPr>
          <w:rFonts w:ascii="Arial" w:hAnsi="Arial" w:cs="Arial"/>
        </w:rPr>
      </w:pPr>
    </w:p>
    <w:p w14:paraId="0C13EABE" w14:textId="77777777" w:rsidR="00184506" w:rsidRPr="001141A4" w:rsidRDefault="00184506">
      <w:pPr>
        <w:spacing w:after="0" w:line="240" w:lineRule="auto"/>
        <w:rPr>
          <w:rFonts w:ascii="Arial" w:hAnsi="Arial" w:cs="Arial"/>
        </w:rPr>
      </w:pPr>
      <w:r w:rsidRPr="001141A4">
        <w:rPr>
          <w:rFonts w:ascii="Arial" w:hAnsi="Arial" w:cs="Arial"/>
        </w:rPr>
        <w:br w:type="page"/>
      </w:r>
    </w:p>
    <w:p w14:paraId="732127E7" w14:textId="77777777" w:rsidR="00184506" w:rsidRPr="001141A4" w:rsidRDefault="00184506" w:rsidP="00B6401E">
      <w:pPr>
        <w:pStyle w:val="Paragraphedeliste"/>
        <w:spacing w:after="0" w:line="240" w:lineRule="auto"/>
        <w:rPr>
          <w:rFonts w:ascii="Arial" w:hAnsi="Arial" w:cs="Arial"/>
          <w:sz w:val="28"/>
          <w:szCs w:val="28"/>
        </w:rPr>
      </w:pPr>
      <w:r w:rsidRPr="001141A4">
        <w:rPr>
          <w:rFonts w:ascii="Arial" w:hAnsi="Arial" w:cs="Arial"/>
          <w:sz w:val="28"/>
          <w:szCs w:val="28"/>
        </w:rPr>
        <w:lastRenderedPageBreak/>
        <w:t>Annexe 2 : Grille de notation des projets</w:t>
      </w:r>
    </w:p>
    <w:p w14:paraId="5A04C18D" w14:textId="77777777" w:rsidR="00184506" w:rsidRPr="001141A4" w:rsidRDefault="00184506" w:rsidP="00B6401E">
      <w:pPr>
        <w:spacing w:after="0" w:line="240" w:lineRule="auto"/>
        <w:ind w:left="360"/>
        <w:rPr>
          <w:rFonts w:ascii="Arial" w:hAnsi="Arial" w:cs="Arial"/>
          <w:sz w:val="28"/>
          <w:szCs w:val="28"/>
        </w:rPr>
      </w:pPr>
    </w:p>
    <w:tbl>
      <w:tblPr>
        <w:tblW w:w="8737" w:type="dxa"/>
        <w:tblInd w:w="57" w:type="dxa"/>
        <w:tblCellMar>
          <w:left w:w="70" w:type="dxa"/>
          <w:right w:w="70" w:type="dxa"/>
        </w:tblCellMar>
        <w:tblLook w:val="00A0" w:firstRow="1" w:lastRow="0" w:firstColumn="1" w:lastColumn="0" w:noHBand="0" w:noVBand="0"/>
      </w:tblPr>
      <w:tblGrid>
        <w:gridCol w:w="1127"/>
        <w:gridCol w:w="2663"/>
        <w:gridCol w:w="1315"/>
        <w:gridCol w:w="1158"/>
        <w:gridCol w:w="1332"/>
        <w:gridCol w:w="1142"/>
      </w:tblGrid>
      <w:tr w:rsidR="00184506" w:rsidRPr="001141A4" w14:paraId="15DF8507" w14:textId="77777777" w:rsidTr="003B4C0D">
        <w:trPr>
          <w:trHeight w:val="288"/>
        </w:trPr>
        <w:tc>
          <w:tcPr>
            <w:tcW w:w="1127" w:type="dxa"/>
            <w:tcBorders>
              <w:top w:val="single" w:sz="4" w:space="0" w:color="auto"/>
              <w:left w:val="single" w:sz="4" w:space="0" w:color="auto"/>
              <w:bottom w:val="single" w:sz="4" w:space="0" w:color="auto"/>
              <w:right w:val="single" w:sz="4" w:space="0" w:color="auto"/>
            </w:tcBorders>
            <w:vAlign w:val="center"/>
          </w:tcPr>
          <w:p w14:paraId="03822926"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CRITERES</w:t>
            </w:r>
          </w:p>
        </w:tc>
        <w:tc>
          <w:tcPr>
            <w:tcW w:w="2663" w:type="dxa"/>
            <w:tcBorders>
              <w:top w:val="single" w:sz="4" w:space="0" w:color="auto"/>
              <w:left w:val="nil"/>
              <w:bottom w:val="single" w:sz="4" w:space="0" w:color="auto"/>
              <w:right w:val="single" w:sz="4" w:space="0" w:color="auto"/>
            </w:tcBorders>
            <w:vAlign w:val="center"/>
          </w:tcPr>
          <w:p w14:paraId="33715200"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SOUS-CRITERES</w:t>
            </w:r>
          </w:p>
        </w:tc>
        <w:tc>
          <w:tcPr>
            <w:tcW w:w="1315" w:type="dxa"/>
            <w:tcBorders>
              <w:top w:val="single" w:sz="4" w:space="0" w:color="auto"/>
              <w:left w:val="nil"/>
              <w:bottom w:val="single" w:sz="4" w:space="0" w:color="auto"/>
              <w:right w:val="single" w:sz="4" w:space="0" w:color="auto"/>
            </w:tcBorders>
            <w:vAlign w:val="center"/>
          </w:tcPr>
          <w:p w14:paraId="1D639083" w14:textId="77777777" w:rsidR="00184506" w:rsidRPr="001141A4" w:rsidRDefault="00184506" w:rsidP="003B4C0D">
            <w:pPr>
              <w:spacing w:after="0" w:line="240" w:lineRule="auto"/>
              <w:jc w:val="center"/>
              <w:rPr>
                <w:rFonts w:ascii="Arial" w:hAnsi="Arial" w:cs="Arial"/>
                <w:b/>
                <w:bCs/>
                <w:color w:val="000000"/>
                <w:sz w:val="16"/>
                <w:szCs w:val="16"/>
              </w:rPr>
            </w:pPr>
            <w:r w:rsidRPr="001141A4">
              <w:rPr>
                <w:rFonts w:ascii="Arial" w:hAnsi="Arial" w:cs="Arial"/>
                <w:b/>
                <w:bCs/>
                <w:color w:val="000000"/>
                <w:sz w:val="16"/>
                <w:szCs w:val="16"/>
              </w:rPr>
              <w:t>BAREME</w:t>
            </w:r>
          </w:p>
        </w:tc>
        <w:tc>
          <w:tcPr>
            <w:tcW w:w="1158" w:type="dxa"/>
            <w:tcBorders>
              <w:top w:val="single" w:sz="4" w:space="0" w:color="auto"/>
              <w:left w:val="nil"/>
              <w:bottom w:val="single" w:sz="4" w:space="0" w:color="auto"/>
              <w:right w:val="single" w:sz="4" w:space="0" w:color="auto"/>
            </w:tcBorders>
            <w:vAlign w:val="center"/>
          </w:tcPr>
          <w:p w14:paraId="0FABA226" w14:textId="77777777" w:rsidR="00184506" w:rsidRPr="001141A4" w:rsidRDefault="00184506" w:rsidP="003B4C0D">
            <w:pPr>
              <w:spacing w:after="0" w:line="240" w:lineRule="auto"/>
              <w:jc w:val="center"/>
              <w:rPr>
                <w:rFonts w:ascii="Arial" w:hAnsi="Arial" w:cs="Arial"/>
                <w:b/>
                <w:bCs/>
                <w:color w:val="000000"/>
                <w:sz w:val="16"/>
                <w:szCs w:val="16"/>
              </w:rPr>
            </w:pPr>
            <w:r w:rsidRPr="001141A4">
              <w:rPr>
                <w:rFonts w:ascii="Arial" w:hAnsi="Arial" w:cs="Arial"/>
                <w:b/>
                <w:bCs/>
                <w:color w:val="000000"/>
                <w:sz w:val="16"/>
                <w:szCs w:val="16"/>
              </w:rPr>
              <w:t>NOTE</w:t>
            </w:r>
          </w:p>
        </w:tc>
        <w:tc>
          <w:tcPr>
            <w:tcW w:w="1332" w:type="dxa"/>
            <w:tcBorders>
              <w:top w:val="single" w:sz="4" w:space="0" w:color="auto"/>
              <w:left w:val="nil"/>
              <w:bottom w:val="single" w:sz="4" w:space="0" w:color="auto"/>
              <w:right w:val="single" w:sz="4" w:space="0" w:color="auto"/>
            </w:tcBorders>
            <w:vAlign w:val="center"/>
          </w:tcPr>
          <w:p w14:paraId="467833E4" w14:textId="77777777" w:rsidR="00184506" w:rsidRPr="001141A4" w:rsidRDefault="00184506" w:rsidP="003B4C0D">
            <w:pPr>
              <w:spacing w:after="0" w:line="240" w:lineRule="auto"/>
              <w:jc w:val="center"/>
              <w:rPr>
                <w:rFonts w:ascii="Arial" w:hAnsi="Arial" w:cs="Arial"/>
                <w:b/>
                <w:bCs/>
                <w:color w:val="000000"/>
                <w:sz w:val="16"/>
                <w:szCs w:val="16"/>
              </w:rPr>
            </w:pPr>
            <w:r w:rsidRPr="001141A4">
              <w:rPr>
                <w:rFonts w:ascii="Arial" w:hAnsi="Arial" w:cs="Arial"/>
                <w:b/>
                <w:bCs/>
                <w:color w:val="000000"/>
                <w:sz w:val="16"/>
                <w:szCs w:val="16"/>
              </w:rPr>
              <w:t>PONDERATION</w:t>
            </w:r>
          </w:p>
        </w:tc>
        <w:tc>
          <w:tcPr>
            <w:tcW w:w="1142" w:type="dxa"/>
            <w:tcBorders>
              <w:top w:val="single" w:sz="4" w:space="0" w:color="auto"/>
              <w:left w:val="nil"/>
              <w:bottom w:val="single" w:sz="4" w:space="0" w:color="auto"/>
              <w:right w:val="single" w:sz="4" w:space="0" w:color="auto"/>
            </w:tcBorders>
            <w:vAlign w:val="center"/>
          </w:tcPr>
          <w:p w14:paraId="0C6B927D" w14:textId="77777777" w:rsidR="00184506" w:rsidRPr="001141A4" w:rsidRDefault="00184506" w:rsidP="003B4C0D">
            <w:pPr>
              <w:spacing w:after="0" w:line="240" w:lineRule="auto"/>
              <w:jc w:val="center"/>
              <w:rPr>
                <w:rFonts w:ascii="Arial" w:hAnsi="Arial" w:cs="Arial"/>
                <w:b/>
                <w:bCs/>
                <w:color w:val="000000"/>
                <w:sz w:val="16"/>
                <w:szCs w:val="16"/>
              </w:rPr>
            </w:pPr>
            <w:r w:rsidRPr="001141A4">
              <w:rPr>
                <w:rFonts w:ascii="Arial" w:hAnsi="Arial" w:cs="Arial"/>
                <w:b/>
                <w:bCs/>
                <w:color w:val="000000"/>
                <w:sz w:val="16"/>
                <w:szCs w:val="16"/>
              </w:rPr>
              <w:t>NOTE</w:t>
            </w:r>
          </w:p>
        </w:tc>
      </w:tr>
      <w:tr w:rsidR="00184506" w:rsidRPr="001141A4" w14:paraId="67FE9291" w14:textId="77777777" w:rsidTr="003B4C0D">
        <w:trPr>
          <w:trHeight w:val="720"/>
        </w:trPr>
        <w:tc>
          <w:tcPr>
            <w:tcW w:w="1127" w:type="dxa"/>
            <w:vMerge w:val="restart"/>
            <w:tcBorders>
              <w:top w:val="nil"/>
              <w:left w:val="single" w:sz="4" w:space="0" w:color="auto"/>
              <w:bottom w:val="single" w:sz="4" w:space="0" w:color="auto"/>
              <w:right w:val="single" w:sz="4" w:space="0" w:color="auto"/>
            </w:tcBorders>
            <w:vAlign w:val="center"/>
          </w:tcPr>
          <w:p w14:paraId="3AFF1930"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Critère 1 :</w:t>
            </w:r>
            <w:r w:rsidRPr="001141A4">
              <w:rPr>
                <w:rFonts w:ascii="Arial" w:hAnsi="Arial" w:cs="Arial"/>
                <w:b/>
                <w:bCs/>
                <w:color w:val="000000"/>
                <w:sz w:val="16"/>
                <w:szCs w:val="16"/>
              </w:rPr>
              <w:br/>
              <w:t>Qualité scientifique et/ou technique du projet</w:t>
            </w:r>
          </w:p>
        </w:tc>
        <w:tc>
          <w:tcPr>
            <w:tcW w:w="2663" w:type="dxa"/>
            <w:tcBorders>
              <w:top w:val="nil"/>
              <w:left w:val="nil"/>
              <w:bottom w:val="single" w:sz="4" w:space="0" w:color="auto"/>
              <w:right w:val="single" w:sz="4" w:space="0" w:color="auto"/>
            </w:tcBorders>
            <w:vAlign w:val="center"/>
          </w:tcPr>
          <w:p w14:paraId="67761064"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Objectifs</w:t>
            </w:r>
            <w:r w:rsidRPr="001141A4">
              <w:rPr>
                <w:rFonts w:ascii="Arial" w:hAnsi="Arial" w:cs="Arial"/>
                <w:color w:val="000000"/>
                <w:sz w:val="16"/>
                <w:szCs w:val="16"/>
              </w:rPr>
              <w:t xml:space="preserve"> (clarté, pertinence vis-à-vis du volet choisi) </w:t>
            </w:r>
          </w:p>
        </w:tc>
        <w:tc>
          <w:tcPr>
            <w:tcW w:w="1315" w:type="dxa"/>
            <w:tcBorders>
              <w:top w:val="nil"/>
              <w:left w:val="nil"/>
              <w:bottom w:val="single" w:sz="4" w:space="0" w:color="auto"/>
              <w:right w:val="single" w:sz="4" w:space="0" w:color="auto"/>
            </w:tcBorders>
            <w:vAlign w:val="center"/>
          </w:tcPr>
          <w:p w14:paraId="375FB0E2"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6D119ECC"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5805EA00"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75EEDF6F"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21140565" w14:textId="77777777" w:rsidTr="003B4C0D">
        <w:trPr>
          <w:trHeight w:val="720"/>
        </w:trPr>
        <w:tc>
          <w:tcPr>
            <w:tcW w:w="1127" w:type="dxa"/>
            <w:vMerge/>
            <w:tcBorders>
              <w:top w:val="nil"/>
              <w:left w:val="single" w:sz="4" w:space="0" w:color="auto"/>
              <w:bottom w:val="single" w:sz="4" w:space="0" w:color="auto"/>
              <w:right w:val="single" w:sz="4" w:space="0" w:color="auto"/>
            </w:tcBorders>
            <w:vAlign w:val="center"/>
          </w:tcPr>
          <w:p w14:paraId="2C49BE96" w14:textId="77777777" w:rsidR="00184506" w:rsidRPr="001141A4" w:rsidRDefault="00184506" w:rsidP="003B4C0D">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24214847"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Méthodologie</w:t>
            </w:r>
            <w:r w:rsidRPr="001141A4">
              <w:rPr>
                <w:rFonts w:ascii="Arial" w:hAnsi="Arial" w:cs="Arial"/>
                <w:color w:val="000000"/>
                <w:sz w:val="16"/>
                <w:szCs w:val="16"/>
              </w:rPr>
              <w:t xml:space="preserve"> (clarté, pertinence vis-à-vis des objectifs, rigueur) </w:t>
            </w:r>
          </w:p>
        </w:tc>
        <w:tc>
          <w:tcPr>
            <w:tcW w:w="1315" w:type="dxa"/>
            <w:tcBorders>
              <w:top w:val="nil"/>
              <w:left w:val="nil"/>
              <w:bottom w:val="single" w:sz="4" w:space="0" w:color="auto"/>
              <w:right w:val="single" w:sz="4" w:space="0" w:color="auto"/>
            </w:tcBorders>
            <w:vAlign w:val="center"/>
          </w:tcPr>
          <w:p w14:paraId="2BDE7FB8"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11D68AF7"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6E9DE664"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3A9C812A"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317188D1" w14:textId="77777777" w:rsidTr="003B4C0D">
        <w:trPr>
          <w:trHeight w:val="1296"/>
        </w:trPr>
        <w:tc>
          <w:tcPr>
            <w:tcW w:w="1127" w:type="dxa"/>
            <w:vMerge/>
            <w:tcBorders>
              <w:top w:val="nil"/>
              <w:left w:val="single" w:sz="4" w:space="0" w:color="auto"/>
              <w:bottom w:val="single" w:sz="4" w:space="0" w:color="auto"/>
              <w:right w:val="single" w:sz="4" w:space="0" w:color="auto"/>
            </w:tcBorders>
            <w:vAlign w:val="center"/>
          </w:tcPr>
          <w:p w14:paraId="181FC511" w14:textId="77777777" w:rsidR="00184506" w:rsidRPr="001141A4" w:rsidRDefault="00184506" w:rsidP="003B4C0D">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15D7DAB2"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 xml:space="preserve">Résultats attendus </w:t>
            </w:r>
            <w:r w:rsidRPr="001141A4">
              <w:rPr>
                <w:rFonts w:ascii="Arial" w:hAnsi="Arial" w:cs="Arial"/>
                <w:color w:val="000000"/>
                <w:sz w:val="16"/>
                <w:szCs w:val="16"/>
              </w:rPr>
              <w:t>(clarté, nouveauté par rapport à l'état de l'art, cohérence vis-à-vis des objectifs, définition d'une stratégie de diffusion)</w:t>
            </w:r>
          </w:p>
        </w:tc>
        <w:tc>
          <w:tcPr>
            <w:tcW w:w="1315" w:type="dxa"/>
            <w:tcBorders>
              <w:top w:val="nil"/>
              <w:left w:val="nil"/>
              <w:bottom w:val="single" w:sz="4" w:space="0" w:color="auto"/>
              <w:right w:val="single" w:sz="4" w:space="0" w:color="auto"/>
            </w:tcBorders>
            <w:vAlign w:val="center"/>
          </w:tcPr>
          <w:p w14:paraId="14ED9703"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79C71857"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65FDC208"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530993A2"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2154F835" w14:textId="77777777" w:rsidTr="003B4C0D">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6B9A8108" w14:textId="77777777" w:rsidR="00184506" w:rsidRPr="001141A4" w:rsidRDefault="00184506" w:rsidP="003B4C0D">
            <w:pPr>
              <w:spacing w:after="0" w:line="240" w:lineRule="auto"/>
              <w:jc w:val="right"/>
              <w:rPr>
                <w:rFonts w:ascii="Arial" w:hAnsi="Arial" w:cs="Arial"/>
                <w:b/>
                <w:bCs/>
                <w:color w:val="000000"/>
                <w:sz w:val="16"/>
                <w:szCs w:val="16"/>
              </w:rPr>
            </w:pPr>
            <w:r w:rsidRPr="001141A4">
              <w:rPr>
                <w:rFonts w:ascii="Arial" w:hAnsi="Arial" w:cs="Arial"/>
                <w:b/>
                <w:bCs/>
                <w:color w:val="000000"/>
                <w:sz w:val="16"/>
                <w:szCs w:val="16"/>
              </w:rPr>
              <w:t>/15</w:t>
            </w:r>
          </w:p>
        </w:tc>
      </w:tr>
      <w:tr w:rsidR="00184506" w:rsidRPr="001141A4" w14:paraId="48F04332" w14:textId="77777777" w:rsidTr="003B4C0D">
        <w:trPr>
          <w:trHeight w:val="720"/>
        </w:trPr>
        <w:tc>
          <w:tcPr>
            <w:tcW w:w="1127" w:type="dxa"/>
            <w:vMerge w:val="restart"/>
            <w:tcBorders>
              <w:top w:val="nil"/>
              <w:left w:val="single" w:sz="4" w:space="0" w:color="auto"/>
              <w:bottom w:val="single" w:sz="4" w:space="0" w:color="auto"/>
              <w:right w:val="single" w:sz="4" w:space="0" w:color="auto"/>
            </w:tcBorders>
            <w:vAlign w:val="center"/>
          </w:tcPr>
          <w:p w14:paraId="53C2DD19"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Critère 2 :</w:t>
            </w:r>
            <w:r w:rsidRPr="001141A4">
              <w:rPr>
                <w:rFonts w:ascii="Arial" w:hAnsi="Arial" w:cs="Arial"/>
                <w:b/>
                <w:bCs/>
                <w:color w:val="000000"/>
                <w:sz w:val="16"/>
                <w:szCs w:val="16"/>
              </w:rPr>
              <w:br/>
              <w:t xml:space="preserve">Qualité du porteur de projet (et du partenariat le cas échéant) </w:t>
            </w:r>
          </w:p>
        </w:tc>
        <w:tc>
          <w:tcPr>
            <w:tcW w:w="2663" w:type="dxa"/>
            <w:tcBorders>
              <w:top w:val="nil"/>
              <w:left w:val="nil"/>
              <w:bottom w:val="single" w:sz="4" w:space="0" w:color="auto"/>
              <w:right w:val="single" w:sz="4" w:space="0" w:color="auto"/>
            </w:tcBorders>
            <w:vAlign w:val="center"/>
          </w:tcPr>
          <w:p w14:paraId="75A8EBBC"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Compétences</w:t>
            </w:r>
            <w:r w:rsidRPr="001141A4">
              <w:rPr>
                <w:rFonts w:ascii="Arial" w:hAnsi="Arial" w:cs="Arial"/>
                <w:color w:val="000000"/>
                <w:sz w:val="16"/>
                <w:szCs w:val="16"/>
              </w:rPr>
              <w:t xml:space="preserve"> scientifiques et/ou techniques et </w:t>
            </w:r>
            <w:r w:rsidRPr="001141A4">
              <w:rPr>
                <w:rFonts w:ascii="Arial" w:hAnsi="Arial" w:cs="Arial"/>
                <w:b/>
                <w:bCs/>
                <w:color w:val="000000"/>
                <w:sz w:val="16"/>
                <w:szCs w:val="16"/>
              </w:rPr>
              <w:t>réalisations</w:t>
            </w:r>
            <w:r w:rsidRPr="001141A4">
              <w:rPr>
                <w:rFonts w:ascii="Arial" w:hAnsi="Arial" w:cs="Arial"/>
                <w:color w:val="000000"/>
                <w:sz w:val="16"/>
                <w:szCs w:val="16"/>
              </w:rPr>
              <w:t xml:space="preserve"> sur la thématique</w:t>
            </w:r>
          </w:p>
        </w:tc>
        <w:tc>
          <w:tcPr>
            <w:tcW w:w="1315" w:type="dxa"/>
            <w:tcBorders>
              <w:top w:val="nil"/>
              <w:left w:val="nil"/>
              <w:bottom w:val="single" w:sz="4" w:space="0" w:color="auto"/>
              <w:right w:val="single" w:sz="4" w:space="0" w:color="auto"/>
            </w:tcBorders>
            <w:vAlign w:val="center"/>
          </w:tcPr>
          <w:p w14:paraId="6C687B76"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7F555AEB"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088DEFB9"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 (2 si pas de partenaires)</w:t>
            </w:r>
          </w:p>
        </w:tc>
        <w:tc>
          <w:tcPr>
            <w:tcW w:w="1142" w:type="dxa"/>
            <w:tcBorders>
              <w:top w:val="nil"/>
              <w:left w:val="nil"/>
              <w:bottom w:val="single" w:sz="4" w:space="0" w:color="auto"/>
              <w:right w:val="single" w:sz="4" w:space="0" w:color="auto"/>
            </w:tcBorders>
            <w:vAlign w:val="center"/>
          </w:tcPr>
          <w:p w14:paraId="4832338B"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256E253D" w14:textId="77777777" w:rsidTr="003B4C0D">
        <w:trPr>
          <w:trHeight w:val="720"/>
        </w:trPr>
        <w:tc>
          <w:tcPr>
            <w:tcW w:w="1127" w:type="dxa"/>
            <w:vMerge/>
            <w:tcBorders>
              <w:top w:val="nil"/>
              <w:left w:val="single" w:sz="4" w:space="0" w:color="auto"/>
              <w:bottom w:val="single" w:sz="4" w:space="0" w:color="auto"/>
              <w:right w:val="single" w:sz="4" w:space="0" w:color="auto"/>
            </w:tcBorders>
            <w:vAlign w:val="center"/>
          </w:tcPr>
          <w:p w14:paraId="444EBDFD" w14:textId="77777777" w:rsidR="00184506" w:rsidRPr="001141A4" w:rsidRDefault="00184506" w:rsidP="003B4C0D">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1BDB712C"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Complémentarité</w:t>
            </w:r>
            <w:r w:rsidRPr="001141A4">
              <w:rPr>
                <w:rFonts w:ascii="Arial" w:hAnsi="Arial" w:cs="Arial"/>
                <w:color w:val="000000"/>
                <w:sz w:val="16"/>
                <w:szCs w:val="16"/>
              </w:rPr>
              <w:t xml:space="preserve"> de l'expertise des partenaires</w:t>
            </w:r>
          </w:p>
        </w:tc>
        <w:tc>
          <w:tcPr>
            <w:tcW w:w="1315" w:type="dxa"/>
            <w:tcBorders>
              <w:top w:val="nil"/>
              <w:left w:val="nil"/>
              <w:bottom w:val="single" w:sz="4" w:space="0" w:color="auto"/>
              <w:right w:val="single" w:sz="4" w:space="0" w:color="auto"/>
            </w:tcBorders>
            <w:vAlign w:val="center"/>
          </w:tcPr>
          <w:p w14:paraId="4C916BCB"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01E1172D"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3342D751"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 (0 si pas de partenaires)</w:t>
            </w:r>
          </w:p>
        </w:tc>
        <w:tc>
          <w:tcPr>
            <w:tcW w:w="1142" w:type="dxa"/>
            <w:tcBorders>
              <w:top w:val="nil"/>
              <w:left w:val="nil"/>
              <w:bottom w:val="single" w:sz="4" w:space="0" w:color="auto"/>
              <w:right w:val="single" w:sz="4" w:space="0" w:color="auto"/>
            </w:tcBorders>
            <w:vAlign w:val="center"/>
          </w:tcPr>
          <w:p w14:paraId="264AFA39"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048D300E" w14:textId="77777777" w:rsidTr="003B4C0D">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0D976869" w14:textId="77777777" w:rsidR="00184506" w:rsidRPr="001141A4" w:rsidRDefault="00184506" w:rsidP="003B4C0D">
            <w:pPr>
              <w:spacing w:after="0" w:line="240" w:lineRule="auto"/>
              <w:jc w:val="right"/>
              <w:rPr>
                <w:rFonts w:ascii="Arial" w:hAnsi="Arial" w:cs="Arial"/>
                <w:b/>
                <w:bCs/>
                <w:color w:val="000000"/>
                <w:sz w:val="16"/>
                <w:szCs w:val="16"/>
              </w:rPr>
            </w:pPr>
            <w:r w:rsidRPr="001141A4">
              <w:rPr>
                <w:rFonts w:ascii="Arial" w:hAnsi="Arial" w:cs="Arial"/>
                <w:b/>
                <w:bCs/>
                <w:color w:val="000000"/>
                <w:sz w:val="16"/>
                <w:szCs w:val="16"/>
              </w:rPr>
              <w:t>/10</w:t>
            </w:r>
          </w:p>
        </w:tc>
      </w:tr>
      <w:tr w:rsidR="00184506" w:rsidRPr="001141A4" w14:paraId="77009536" w14:textId="77777777" w:rsidTr="003B4C0D">
        <w:trPr>
          <w:trHeight w:val="720"/>
        </w:trPr>
        <w:tc>
          <w:tcPr>
            <w:tcW w:w="1127" w:type="dxa"/>
            <w:vMerge w:val="restart"/>
            <w:tcBorders>
              <w:top w:val="nil"/>
              <w:left w:val="single" w:sz="4" w:space="0" w:color="auto"/>
              <w:bottom w:val="single" w:sz="4" w:space="0" w:color="auto"/>
              <w:right w:val="single" w:sz="4" w:space="0" w:color="auto"/>
            </w:tcBorders>
            <w:vAlign w:val="center"/>
          </w:tcPr>
          <w:p w14:paraId="37794D7F"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Critère 3 :</w:t>
            </w:r>
            <w:r w:rsidRPr="001141A4">
              <w:rPr>
                <w:rFonts w:ascii="Arial" w:hAnsi="Arial" w:cs="Arial"/>
                <w:b/>
                <w:bCs/>
                <w:color w:val="000000"/>
                <w:sz w:val="16"/>
                <w:szCs w:val="16"/>
              </w:rPr>
              <w:br/>
              <w:t>Organisation et faisabilité du projet</w:t>
            </w:r>
          </w:p>
        </w:tc>
        <w:tc>
          <w:tcPr>
            <w:tcW w:w="2663" w:type="dxa"/>
            <w:tcBorders>
              <w:top w:val="nil"/>
              <w:left w:val="nil"/>
              <w:bottom w:val="single" w:sz="4" w:space="0" w:color="auto"/>
              <w:right w:val="single" w:sz="4" w:space="0" w:color="auto"/>
            </w:tcBorders>
            <w:vAlign w:val="center"/>
          </w:tcPr>
          <w:p w14:paraId="439ED4C2"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Calendrier et plan de charge</w:t>
            </w:r>
            <w:r w:rsidRPr="001141A4">
              <w:rPr>
                <w:rFonts w:ascii="Arial" w:hAnsi="Arial" w:cs="Arial"/>
                <w:color w:val="000000"/>
                <w:sz w:val="16"/>
                <w:szCs w:val="16"/>
              </w:rPr>
              <w:t xml:space="preserve"> (niveau de détail et réalisme)</w:t>
            </w:r>
          </w:p>
        </w:tc>
        <w:tc>
          <w:tcPr>
            <w:tcW w:w="1315" w:type="dxa"/>
            <w:tcBorders>
              <w:top w:val="nil"/>
              <w:left w:val="nil"/>
              <w:bottom w:val="single" w:sz="4" w:space="0" w:color="auto"/>
              <w:right w:val="single" w:sz="4" w:space="0" w:color="auto"/>
            </w:tcBorders>
            <w:vAlign w:val="center"/>
          </w:tcPr>
          <w:p w14:paraId="3F54E53A"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36EAB83D"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65AAD1A7"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6539D72C"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47C6B011" w14:textId="77777777" w:rsidTr="003B4C0D">
        <w:trPr>
          <w:trHeight w:val="720"/>
        </w:trPr>
        <w:tc>
          <w:tcPr>
            <w:tcW w:w="1127" w:type="dxa"/>
            <w:vMerge/>
            <w:tcBorders>
              <w:top w:val="nil"/>
              <w:left w:val="single" w:sz="4" w:space="0" w:color="auto"/>
              <w:bottom w:val="single" w:sz="4" w:space="0" w:color="auto"/>
              <w:right w:val="single" w:sz="4" w:space="0" w:color="auto"/>
            </w:tcBorders>
            <w:vAlign w:val="center"/>
          </w:tcPr>
          <w:p w14:paraId="6C693DD6" w14:textId="77777777" w:rsidR="00184506" w:rsidRPr="001141A4" w:rsidRDefault="00184506" w:rsidP="003B4C0D">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1C763973"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Moyens</w:t>
            </w:r>
            <w:r w:rsidRPr="001141A4">
              <w:rPr>
                <w:rFonts w:ascii="Arial" w:hAnsi="Arial" w:cs="Arial"/>
                <w:color w:val="000000"/>
                <w:sz w:val="16"/>
                <w:szCs w:val="16"/>
              </w:rPr>
              <w:t xml:space="preserve"> (clarté de la planification budgétaire et adéquation des moyens aux objectifs)  </w:t>
            </w:r>
          </w:p>
        </w:tc>
        <w:tc>
          <w:tcPr>
            <w:tcW w:w="1315" w:type="dxa"/>
            <w:tcBorders>
              <w:top w:val="nil"/>
              <w:left w:val="nil"/>
              <w:bottom w:val="single" w:sz="4" w:space="0" w:color="auto"/>
              <w:right w:val="single" w:sz="4" w:space="0" w:color="auto"/>
            </w:tcBorders>
            <w:vAlign w:val="center"/>
          </w:tcPr>
          <w:p w14:paraId="7E86AA3E"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0F3E18F1"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5C4F984F"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749308D4"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4019163B" w14:textId="77777777" w:rsidTr="003B4C0D">
        <w:trPr>
          <w:trHeight w:val="720"/>
        </w:trPr>
        <w:tc>
          <w:tcPr>
            <w:tcW w:w="1127" w:type="dxa"/>
            <w:vMerge/>
            <w:tcBorders>
              <w:top w:val="nil"/>
              <w:left w:val="single" w:sz="4" w:space="0" w:color="auto"/>
              <w:bottom w:val="single" w:sz="4" w:space="0" w:color="auto"/>
              <w:right w:val="single" w:sz="4" w:space="0" w:color="auto"/>
            </w:tcBorders>
            <w:vAlign w:val="center"/>
          </w:tcPr>
          <w:p w14:paraId="2C5D4A2D" w14:textId="77777777" w:rsidR="00184506" w:rsidRPr="001141A4" w:rsidRDefault="00184506" w:rsidP="003B4C0D">
            <w:pPr>
              <w:spacing w:after="0" w:line="240" w:lineRule="auto"/>
              <w:rPr>
                <w:rFonts w:ascii="Arial" w:hAnsi="Arial" w:cs="Arial"/>
                <w:b/>
                <w:bCs/>
                <w:color w:val="000000"/>
                <w:sz w:val="16"/>
                <w:szCs w:val="16"/>
              </w:rPr>
            </w:pPr>
          </w:p>
        </w:tc>
        <w:tc>
          <w:tcPr>
            <w:tcW w:w="2663" w:type="dxa"/>
            <w:tcBorders>
              <w:top w:val="nil"/>
              <w:left w:val="nil"/>
              <w:bottom w:val="single" w:sz="4" w:space="0" w:color="auto"/>
              <w:right w:val="single" w:sz="4" w:space="0" w:color="auto"/>
            </w:tcBorders>
            <w:vAlign w:val="center"/>
          </w:tcPr>
          <w:p w14:paraId="11F37D90"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b/>
                <w:bCs/>
                <w:color w:val="000000"/>
                <w:sz w:val="16"/>
                <w:szCs w:val="16"/>
              </w:rPr>
              <w:t>Identification des risques</w:t>
            </w:r>
            <w:r w:rsidRPr="001141A4">
              <w:rPr>
                <w:rFonts w:ascii="Arial" w:hAnsi="Arial" w:cs="Arial"/>
                <w:color w:val="000000"/>
                <w:sz w:val="16"/>
                <w:szCs w:val="16"/>
              </w:rPr>
              <w:t xml:space="preserve"> (identification des risques associés aux étapes du projet et présentation des solutions de secours envisagées)</w:t>
            </w:r>
          </w:p>
        </w:tc>
        <w:tc>
          <w:tcPr>
            <w:tcW w:w="1315" w:type="dxa"/>
            <w:tcBorders>
              <w:top w:val="nil"/>
              <w:left w:val="nil"/>
              <w:bottom w:val="single" w:sz="4" w:space="0" w:color="auto"/>
              <w:right w:val="single" w:sz="4" w:space="0" w:color="auto"/>
            </w:tcBorders>
            <w:vAlign w:val="center"/>
          </w:tcPr>
          <w:p w14:paraId="4524AF4A"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vAlign w:val="center"/>
          </w:tcPr>
          <w:p w14:paraId="2B6589A5"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c>
          <w:tcPr>
            <w:tcW w:w="1332" w:type="dxa"/>
            <w:tcBorders>
              <w:top w:val="nil"/>
              <w:left w:val="nil"/>
              <w:bottom w:val="single" w:sz="4" w:space="0" w:color="auto"/>
              <w:right w:val="single" w:sz="4" w:space="0" w:color="auto"/>
            </w:tcBorders>
            <w:vAlign w:val="center"/>
          </w:tcPr>
          <w:p w14:paraId="715E37A9"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1142" w:type="dxa"/>
            <w:tcBorders>
              <w:top w:val="nil"/>
              <w:left w:val="nil"/>
              <w:bottom w:val="single" w:sz="4" w:space="0" w:color="auto"/>
              <w:right w:val="single" w:sz="4" w:space="0" w:color="auto"/>
            </w:tcBorders>
            <w:vAlign w:val="center"/>
          </w:tcPr>
          <w:p w14:paraId="468A3B7D"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 </w:t>
            </w:r>
          </w:p>
        </w:tc>
      </w:tr>
      <w:tr w:rsidR="00184506" w:rsidRPr="001141A4" w14:paraId="6F5F68E1" w14:textId="77777777" w:rsidTr="003B4C0D">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1D76BDE3" w14:textId="77777777" w:rsidR="00184506" w:rsidRPr="001141A4" w:rsidRDefault="00184506" w:rsidP="003B4C0D">
            <w:pPr>
              <w:spacing w:after="0" w:line="240" w:lineRule="auto"/>
              <w:jc w:val="right"/>
              <w:rPr>
                <w:rFonts w:ascii="Arial" w:hAnsi="Arial" w:cs="Arial"/>
                <w:b/>
                <w:bCs/>
                <w:color w:val="000000"/>
                <w:sz w:val="16"/>
                <w:szCs w:val="16"/>
              </w:rPr>
            </w:pPr>
            <w:r w:rsidRPr="001141A4">
              <w:rPr>
                <w:rFonts w:ascii="Arial" w:hAnsi="Arial" w:cs="Arial"/>
                <w:b/>
                <w:bCs/>
                <w:color w:val="000000"/>
                <w:sz w:val="16"/>
                <w:szCs w:val="16"/>
              </w:rPr>
              <w:t>/15</w:t>
            </w:r>
          </w:p>
        </w:tc>
      </w:tr>
      <w:tr w:rsidR="00184506" w:rsidRPr="001141A4" w14:paraId="11AB1A07" w14:textId="77777777" w:rsidTr="003B4C0D">
        <w:trPr>
          <w:trHeight w:val="720"/>
        </w:trPr>
        <w:tc>
          <w:tcPr>
            <w:tcW w:w="3790" w:type="dxa"/>
            <w:gridSpan w:val="2"/>
            <w:tcBorders>
              <w:top w:val="single" w:sz="4" w:space="0" w:color="auto"/>
              <w:left w:val="single" w:sz="4" w:space="0" w:color="auto"/>
              <w:bottom w:val="single" w:sz="4" w:space="0" w:color="auto"/>
              <w:right w:val="single" w:sz="4" w:space="0" w:color="000000"/>
            </w:tcBorders>
            <w:vAlign w:val="center"/>
          </w:tcPr>
          <w:p w14:paraId="64406F81" w14:textId="34B0D2CE" w:rsidR="00757C44" w:rsidRPr="001141A4" w:rsidRDefault="00184506" w:rsidP="008F2342">
            <w:pPr>
              <w:spacing w:after="0" w:line="240" w:lineRule="auto"/>
              <w:rPr>
                <w:rFonts w:ascii="Arial" w:hAnsi="Arial" w:cs="Arial"/>
                <w:b/>
                <w:bCs/>
                <w:color w:val="000000"/>
                <w:sz w:val="16"/>
                <w:szCs w:val="16"/>
              </w:rPr>
            </w:pPr>
            <w:r w:rsidRPr="001141A4">
              <w:rPr>
                <w:rFonts w:ascii="Arial" w:hAnsi="Arial" w:cs="Arial"/>
                <w:b/>
                <w:bCs/>
                <w:color w:val="000000"/>
                <w:sz w:val="16"/>
                <w:szCs w:val="16"/>
              </w:rPr>
              <w:t>Critère 4 :</w:t>
            </w:r>
            <w:r w:rsidRPr="001141A4">
              <w:t xml:space="preserve"> </w:t>
            </w:r>
            <w:r w:rsidRPr="001141A4">
              <w:rPr>
                <w:rFonts w:ascii="Arial" w:hAnsi="Arial" w:cs="Arial"/>
                <w:b/>
                <w:bCs/>
                <w:color w:val="000000"/>
                <w:sz w:val="16"/>
                <w:szCs w:val="16"/>
              </w:rPr>
              <w:t>Adéquation du projet à un besoin en données ou en connaissance</w:t>
            </w:r>
            <w:r w:rsidRPr="001141A4">
              <w:rPr>
                <w:rFonts w:ascii="Arial" w:hAnsi="Arial" w:cs="Arial"/>
                <w:bCs/>
                <w:color w:val="000000"/>
                <w:sz w:val="16"/>
                <w:szCs w:val="16"/>
              </w:rPr>
              <w:t xml:space="preserve"> </w:t>
            </w:r>
          </w:p>
        </w:tc>
        <w:tc>
          <w:tcPr>
            <w:tcW w:w="1315" w:type="dxa"/>
            <w:tcBorders>
              <w:top w:val="nil"/>
              <w:left w:val="nil"/>
              <w:bottom w:val="single" w:sz="4" w:space="0" w:color="auto"/>
              <w:right w:val="single" w:sz="4" w:space="0" w:color="auto"/>
            </w:tcBorders>
            <w:vAlign w:val="center"/>
          </w:tcPr>
          <w:p w14:paraId="17029DCE"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 points</w:t>
            </w:r>
          </w:p>
        </w:tc>
        <w:tc>
          <w:tcPr>
            <w:tcW w:w="1158" w:type="dxa"/>
            <w:tcBorders>
              <w:top w:val="nil"/>
              <w:left w:val="nil"/>
              <w:bottom w:val="single" w:sz="4" w:space="0" w:color="auto"/>
              <w:right w:val="single" w:sz="4" w:space="0" w:color="auto"/>
            </w:tcBorders>
            <w:noWrap/>
            <w:vAlign w:val="center"/>
          </w:tcPr>
          <w:p w14:paraId="5A6C9790" w14:textId="77777777" w:rsidR="00184506" w:rsidRPr="001141A4" w:rsidRDefault="00184506" w:rsidP="003B4C0D">
            <w:pPr>
              <w:spacing w:after="0" w:line="240" w:lineRule="auto"/>
              <w:rPr>
                <w:rFonts w:ascii="Arial" w:hAnsi="Arial" w:cs="Arial"/>
                <w:color w:val="000000"/>
              </w:rPr>
            </w:pPr>
            <w:r w:rsidRPr="001141A4">
              <w:rPr>
                <w:rFonts w:ascii="Arial" w:hAnsi="Arial" w:cs="Arial"/>
                <w:color w:val="000000"/>
              </w:rPr>
              <w:t> </w:t>
            </w:r>
          </w:p>
        </w:tc>
        <w:tc>
          <w:tcPr>
            <w:tcW w:w="1332" w:type="dxa"/>
            <w:tcBorders>
              <w:top w:val="nil"/>
              <w:left w:val="nil"/>
              <w:bottom w:val="single" w:sz="4" w:space="0" w:color="auto"/>
              <w:right w:val="single" w:sz="4" w:space="0" w:color="auto"/>
            </w:tcBorders>
            <w:vAlign w:val="center"/>
          </w:tcPr>
          <w:p w14:paraId="12FF6434"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2</w:t>
            </w:r>
          </w:p>
        </w:tc>
        <w:tc>
          <w:tcPr>
            <w:tcW w:w="1142" w:type="dxa"/>
            <w:tcBorders>
              <w:top w:val="nil"/>
              <w:left w:val="nil"/>
              <w:bottom w:val="single" w:sz="4" w:space="0" w:color="auto"/>
              <w:right w:val="single" w:sz="4" w:space="0" w:color="auto"/>
            </w:tcBorders>
            <w:noWrap/>
            <w:vAlign w:val="center"/>
          </w:tcPr>
          <w:p w14:paraId="6AB3E027" w14:textId="77777777" w:rsidR="00184506" w:rsidRPr="001141A4" w:rsidRDefault="00184506" w:rsidP="003B4C0D">
            <w:pPr>
              <w:spacing w:after="0" w:line="240" w:lineRule="auto"/>
              <w:rPr>
                <w:rFonts w:ascii="Arial" w:hAnsi="Arial" w:cs="Arial"/>
                <w:color w:val="000000"/>
              </w:rPr>
            </w:pPr>
            <w:r w:rsidRPr="001141A4">
              <w:rPr>
                <w:rFonts w:ascii="Arial" w:hAnsi="Arial" w:cs="Arial"/>
                <w:color w:val="000000"/>
              </w:rPr>
              <w:t> </w:t>
            </w:r>
          </w:p>
        </w:tc>
      </w:tr>
      <w:tr w:rsidR="00184506" w:rsidRPr="001141A4" w14:paraId="125D6CC0" w14:textId="77777777" w:rsidTr="003B4C0D">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6C123A8F" w14:textId="77777777" w:rsidR="00184506" w:rsidRPr="001141A4" w:rsidRDefault="00184506" w:rsidP="003B4C0D">
            <w:pPr>
              <w:spacing w:after="0" w:line="240" w:lineRule="auto"/>
              <w:jc w:val="right"/>
              <w:rPr>
                <w:rFonts w:ascii="Arial" w:hAnsi="Arial" w:cs="Arial"/>
                <w:b/>
                <w:bCs/>
                <w:color w:val="000000"/>
                <w:sz w:val="16"/>
                <w:szCs w:val="16"/>
              </w:rPr>
            </w:pPr>
            <w:r w:rsidRPr="001141A4">
              <w:rPr>
                <w:rFonts w:ascii="Arial" w:hAnsi="Arial" w:cs="Arial"/>
                <w:b/>
                <w:bCs/>
                <w:color w:val="000000"/>
                <w:sz w:val="16"/>
                <w:szCs w:val="16"/>
              </w:rPr>
              <w:t>/10</w:t>
            </w:r>
          </w:p>
        </w:tc>
      </w:tr>
      <w:tr w:rsidR="00184506" w:rsidRPr="001141A4" w14:paraId="5C0F0FD8" w14:textId="77777777" w:rsidTr="003B4C0D">
        <w:trPr>
          <w:trHeight w:val="720"/>
        </w:trPr>
        <w:tc>
          <w:tcPr>
            <w:tcW w:w="7595" w:type="dxa"/>
            <w:gridSpan w:val="5"/>
            <w:tcBorders>
              <w:top w:val="single" w:sz="4" w:space="0" w:color="auto"/>
              <w:left w:val="single" w:sz="4" w:space="0" w:color="auto"/>
              <w:bottom w:val="single" w:sz="4" w:space="0" w:color="auto"/>
              <w:right w:val="single" w:sz="4" w:space="0" w:color="auto"/>
            </w:tcBorders>
            <w:noWrap/>
            <w:vAlign w:val="center"/>
          </w:tcPr>
          <w:p w14:paraId="2521AB56" w14:textId="77777777" w:rsidR="00184506" w:rsidRPr="001141A4" w:rsidRDefault="00184506" w:rsidP="003B4C0D">
            <w:pPr>
              <w:spacing w:after="0" w:line="240" w:lineRule="auto"/>
              <w:jc w:val="right"/>
              <w:rPr>
                <w:rFonts w:ascii="Arial" w:hAnsi="Arial" w:cs="Arial"/>
                <w:b/>
                <w:bCs/>
                <w:color w:val="000000"/>
                <w:sz w:val="16"/>
                <w:szCs w:val="16"/>
              </w:rPr>
            </w:pPr>
            <w:r w:rsidRPr="001141A4">
              <w:rPr>
                <w:rFonts w:ascii="Arial" w:hAnsi="Arial" w:cs="Arial"/>
                <w:b/>
                <w:bCs/>
                <w:color w:val="000000"/>
                <w:sz w:val="16"/>
                <w:szCs w:val="16"/>
              </w:rPr>
              <w:t>Note finale du projet</w:t>
            </w:r>
          </w:p>
        </w:tc>
        <w:tc>
          <w:tcPr>
            <w:tcW w:w="1142" w:type="dxa"/>
            <w:tcBorders>
              <w:top w:val="nil"/>
              <w:left w:val="nil"/>
              <w:bottom w:val="single" w:sz="4" w:space="0" w:color="auto"/>
              <w:right w:val="single" w:sz="4" w:space="0" w:color="auto"/>
            </w:tcBorders>
            <w:noWrap/>
            <w:vAlign w:val="center"/>
          </w:tcPr>
          <w:p w14:paraId="17B6D4D1" w14:textId="77777777" w:rsidR="00184506" w:rsidRPr="001141A4" w:rsidRDefault="00184506" w:rsidP="003B4C0D">
            <w:pPr>
              <w:spacing w:after="0" w:line="240" w:lineRule="auto"/>
              <w:jc w:val="right"/>
              <w:rPr>
                <w:rFonts w:ascii="Arial" w:hAnsi="Arial" w:cs="Arial"/>
                <w:b/>
                <w:bCs/>
                <w:color w:val="000000"/>
                <w:sz w:val="16"/>
                <w:szCs w:val="16"/>
              </w:rPr>
            </w:pPr>
            <w:r w:rsidRPr="001141A4">
              <w:rPr>
                <w:rFonts w:ascii="Arial" w:hAnsi="Arial" w:cs="Arial"/>
                <w:b/>
                <w:bCs/>
                <w:color w:val="000000"/>
                <w:sz w:val="16"/>
                <w:szCs w:val="16"/>
              </w:rPr>
              <w:t>/50</w:t>
            </w:r>
          </w:p>
        </w:tc>
      </w:tr>
      <w:tr w:rsidR="00184506" w:rsidRPr="001141A4" w14:paraId="74D6D350" w14:textId="77777777" w:rsidTr="003B4C0D">
        <w:trPr>
          <w:trHeight w:val="288"/>
        </w:trPr>
        <w:tc>
          <w:tcPr>
            <w:tcW w:w="1127" w:type="dxa"/>
            <w:tcBorders>
              <w:top w:val="nil"/>
              <w:left w:val="nil"/>
              <w:bottom w:val="nil"/>
              <w:right w:val="nil"/>
            </w:tcBorders>
            <w:noWrap/>
            <w:vAlign w:val="center"/>
          </w:tcPr>
          <w:p w14:paraId="48DFBAF8" w14:textId="77777777" w:rsidR="00184506" w:rsidRPr="001141A4" w:rsidRDefault="00184506" w:rsidP="003B4C0D">
            <w:pPr>
              <w:spacing w:after="0" w:line="240" w:lineRule="auto"/>
              <w:rPr>
                <w:rFonts w:ascii="Arial" w:hAnsi="Arial" w:cs="Arial"/>
                <w:color w:val="000000"/>
              </w:rPr>
            </w:pPr>
          </w:p>
        </w:tc>
        <w:tc>
          <w:tcPr>
            <w:tcW w:w="2663" w:type="dxa"/>
            <w:tcBorders>
              <w:top w:val="nil"/>
              <w:left w:val="nil"/>
              <w:bottom w:val="nil"/>
              <w:right w:val="nil"/>
            </w:tcBorders>
            <w:noWrap/>
            <w:vAlign w:val="center"/>
          </w:tcPr>
          <w:p w14:paraId="4A148C57" w14:textId="77777777" w:rsidR="00184506" w:rsidRPr="001141A4" w:rsidRDefault="00184506" w:rsidP="003B4C0D">
            <w:pPr>
              <w:spacing w:after="0" w:line="240" w:lineRule="auto"/>
              <w:rPr>
                <w:rFonts w:ascii="Arial" w:hAnsi="Arial" w:cs="Arial"/>
                <w:color w:val="000000"/>
              </w:rPr>
            </w:pPr>
          </w:p>
        </w:tc>
        <w:tc>
          <w:tcPr>
            <w:tcW w:w="1315" w:type="dxa"/>
            <w:tcBorders>
              <w:top w:val="nil"/>
              <w:left w:val="nil"/>
              <w:bottom w:val="nil"/>
              <w:right w:val="nil"/>
            </w:tcBorders>
            <w:noWrap/>
            <w:vAlign w:val="center"/>
          </w:tcPr>
          <w:p w14:paraId="1158D40E" w14:textId="77777777" w:rsidR="00184506" w:rsidRPr="001141A4" w:rsidRDefault="00184506" w:rsidP="003B4C0D">
            <w:pPr>
              <w:spacing w:after="0" w:line="240" w:lineRule="auto"/>
              <w:jc w:val="center"/>
              <w:rPr>
                <w:rFonts w:ascii="Arial" w:hAnsi="Arial" w:cs="Arial"/>
                <w:color w:val="000000"/>
              </w:rPr>
            </w:pPr>
          </w:p>
        </w:tc>
        <w:tc>
          <w:tcPr>
            <w:tcW w:w="1158" w:type="dxa"/>
            <w:tcBorders>
              <w:top w:val="nil"/>
              <w:left w:val="nil"/>
              <w:bottom w:val="nil"/>
              <w:right w:val="nil"/>
            </w:tcBorders>
            <w:noWrap/>
            <w:vAlign w:val="center"/>
          </w:tcPr>
          <w:p w14:paraId="17CBC686" w14:textId="77777777" w:rsidR="00184506" w:rsidRPr="001141A4" w:rsidRDefault="00184506" w:rsidP="003B4C0D">
            <w:pPr>
              <w:spacing w:after="0" w:line="240" w:lineRule="auto"/>
              <w:rPr>
                <w:rFonts w:ascii="Arial" w:hAnsi="Arial" w:cs="Arial"/>
                <w:color w:val="000000"/>
              </w:rPr>
            </w:pPr>
          </w:p>
        </w:tc>
        <w:tc>
          <w:tcPr>
            <w:tcW w:w="1332" w:type="dxa"/>
            <w:tcBorders>
              <w:top w:val="nil"/>
              <w:left w:val="nil"/>
              <w:bottom w:val="nil"/>
              <w:right w:val="nil"/>
            </w:tcBorders>
            <w:noWrap/>
            <w:vAlign w:val="center"/>
          </w:tcPr>
          <w:p w14:paraId="7F8BC74F" w14:textId="77777777" w:rsidR="00184506" w:rsidRPr="001141A4" w:rsidRDefault="00184506" w:rsidP="003B4C0D">
            <w:pPr>
              <w:spacing w:after="0" w:line="240" w:lineRule="auto"/>
              <w:rPr>
                <w:rFonts w:ascii="Arial" w:hAnsi="Arial" w:cs="Arial"/>
                <w:color w:val="000000"/>
              </w:rPr>
            </w:pPr>
          </w:p>
        </w:tc>
        <w:tc>
          <w:tcPr>
            <w:tcW w:w="1142" w:type="dxa"/>
            <w:tcBorders>
              <w:top w:val="nil"/>
              <w:left w:val="nil"/>
              <w:bottom w:val="nil"/>
              <w:right w:val="nil"/>
            </w:tcBorders>
            <w:noWrap/>
            <w:vAlign w:val="center"/>
          </w:tcPr>
          <w:p w14:paraId="306A3097" w14:textId="77777777" w:rsidR="00184506" w:rsidRPr="001141A4" w:rsidRDefault="00184506" w:rsidP="003B4C0D">
            <w:pPr>
              <w:spacing w:after="0" w:line="240" w:lineRule="auto"/>
              <w:rPr>
                <w:rFonts w:ascii="Arial" w:hAnsi="Arial" w:cs="Arial"/>
                <w:color w:val="000000"/>
              </w:rPr>
            </w:pPr>
          </w:p>
        </w:tc>
      </w:tr>
      <w:tr w:rsidR="00184506" w:rsidRPr="001141A4" w14:paraId="6CD52EE4" w14:textId="77777777" w:rsidTr="003B4C0D">
        <w:trPr>
          <w:trHeight w:val="288"/>
        </w:trPr>
        <w:tc>
          <w:tcPr>
            <w:tcW w:w="8737" w:type="dxa"/>
            <w:gridSpan w:val="6"/>
            <w:tcBorders>
              <w:top w:val="single" w:sz="4" w:space="0" w:color="auto"/>
              <w:left w:val="single" w:sz="4" w:space="0" w:color="auto"/>
              <w:bottom w:val="single" w:sz="4" w:space="0" w:color="auto"/>
              <w:right w:val="single" w:sz="4" w:space="0" w:color="000000"/>
            </w:tcBorders>
            <w:noWrap/>
            <w:vAlign w:val="center"/>
          </w:tcPr>
          <w:p w14:paraId="7075A8AF"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 xml:space="preserve"> (le barème ci-dessous, destiné à l’évaluateur, est indicatif)</w:t>
            </w:r>
          </w:p>
        </w:tc>
      </w:tr>
      <w:tr w:rsidR="00184506" w:rsidRPr="001141A4" w14:paraId="4BEA5327"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4974E1A1" w14:textId="77777777" w:rsidR="00184506" w:rsidRPr="001141A4" w:rsidRDefault="00184506" w:rsidP="003B4C0D">
            <w:pPr>
              <w:spacing w:after="0" w:line="240" w:lineRule="auto"/>
              <w:jc w:val="center"/>
              <w:rPr>
                <w:rFonts w:ascii="Arial" w:hAnsi="Arial" w:cs="Arial"/>
                <w:b/>
                <w:bCs/>
                <w:color w:val="000000"/>
                <w:sz w:val="16"/>
                <w:szCs w:val="16"/>
              </w:rPr>
            </w:pPr>
            <w:r w:rsidRPr="001141A4">
              <w:rPr>
                <w:rFonts w:ascii="Arial" w:hAnsi="Arial" w:cs="Arial"/>
                <w:b/>
                <w:bCs/>
                <w:color w:val="000000"/>
                <w:sz w:val="16"/>
                <w:szCs w:val="16"/>
              </w:rPr>
              <w:t>Note</w:t>
            </w:r>
          </w:p>
        </w:tc>
        <w:tc>
          <w:tcPr>
            <w:tcW w:w="7610" w:type="dxa"/>
            <w:gridSpan w:val="5"/>
            <w:tcBorders>
              <w:top w:val="single" w:sz="4" w:space="0" w:color="auto"/>
              <w:left w:val="nil"/>
              <w:bottom w:val="single" w:sz="4" w:space="0" w:color="auto"/>
              <w:right w:val="single" w:sz="4" w:space="0" w:color="auto"/>
            </w:tcBorders>
            <w:noWrap/>
            <w:vAlign w:val="center"/>
          </w:tcPr>
          <w:p w14:paraId="2400C09F" w14:textId="77777777" w:rsidR="00184506" w:rsidRPr="001141A4" w:rsidRDefault="00184506" w:rsidP="003B4C0D">
            <w:pPr>
              <w:spacing w:after="0" w:line="240" w:lineRule="auto"/>
              <w:rPr>
                <w:rFonts w:ascii="Arial" w:hAnsi="Arial" w:cs="Arial"/>
                <w:b/>
                <w:bCs/>
                <w:color w:val="000000"/>
                <w:sz w:val="16"/>
                <w:szCs w:val="16"/>
              </w:rPr>
            </w:pPr>
            <w:r w:rsidRPr="001141A4">
              <w:rPr>
                <w:rFonts w:ascii="Arial" w:hAnsi="Arial" w:cs="Arial"/>
                <w:b/>
                <w:bCs/>
                <w:color w:val="000000"/>
                <w:sz w:val="16"/>
                <w:szCs w:val="16"/>
              </w:rPr>
              <w:t>Signification</w:t>
            </w:r>
          </w:p>
        </w:tc>
      </w:tr>
      <w:tr w:rsidR="00184506" w:rsidRPr="001141A4" w14:paraId="79151807"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7784CC44"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0</w:t>
            </w:r>
          </w:p>
        </w:tc>
        <w:tc>
          <w:tcPr>
            <w:tcW w:w="7610" w:type="dxa"/>
            <w:gridSpan w:val="5"/>
            <w:tcBorders>
              <w:top w:val="single" w:sz="4" w:space="0" w:color="auto"/>
              <w:left w:val="nil"/>
              <w:bottom w:val="single" w:sz="4" w:space="0" w:color="auto"/>
              <w:right w:val="single" w:sz="4" w:space="0" w:color="auto"/>
            </w:tcBorders>
            <w:noWrap/>
            <w:vAlign w:val="center"/>
          </w:tcPr>
          <w:p w14:paraId="3C9D4962"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Critère non traité ou ne pouvant être évalué en raison d'informations manquantes</w:t>
            </w:r>
          </w:p>
        </w:tc>
      </w:tr>
      <w:tr w:rsidR="00184506" w:rsidRPr="001141A4" w14:paraId="002FA582"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3947C62B"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1</w:t>
            </w:r>
          </w:p>
        </w:tc>
        <w:tc>
          <w:tcPr>
            <w:tcW w:w="7610" w:type="dxa"/>
            <w:gridSpan w:val="5"/>
            <w:tcBorders>
              <w:top w:val="single" w:sz="4" w:space="0" w:color="auto"/>
              <w:left w:val="nil"/>
              <w:bottom w:val="single" w:sz="4" w:space="0" w:color="auto"/>
              <w:right w:val="single" w:sz="4" w:space="0" w:color="auto"/>
            </w:tcBorders>
            <w:noWrap/>
            <w:vAlign w:val="center"/>
          </w:tcPr>
          <w:p w14:paraId="118A42C1"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Insuffisant</w:t>
            </w:r>
          </w:p>
        </w:tc>
      </w:tr>
      <w:tr w:rsidR="00184506" w:rsidRPr="001141A4" w14:paraId="3EF4122D"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3EED12F7"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2</w:t>
            </w:r>
          </w:p>
        </w:tc>
        <w:tc>
          <w:tcPr>
            <w:tcW w:w="7610" w:type="dxa"/>
            <w:gridSpan w:val="5"/>
            <w:tcBorders>
              <w:top w:val="single" w:sz="4" w:space="0" w:color="auto"/>
              <w:left w:val="nil"/>
              <w:bottom w:val="single" w:sz="4" w:space="0" w:color="auto"/>
              <w:right w:val="single" w:sz="4" w:space="0" w:color="auto"/>
            </w:tcBorders>
            <w:noWrap/>
            <w:vAlign w:val="center"/>
          </w:tcPr>
          <w:p w14:paraId="27FD640D"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Médiocre</w:t>
            </w:r>
          </w:p>
        </w:tc>
      </w:tr>
      <w:tr w:rsidR="00184506" w:rsidRPr="001141A4" w14:paraId="67D6377B"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346A1ED1"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3</w:t>
            </w:r>
          </w:p>
        </w:tc>
        <w:tc>
          <w:tcPr>
            <w:tcW w:w="7610" w:type="dxa"/>
            <w:gridSpan w:val="5"/>
            <w:tcBorders>
              <w:top w:val="single" w:sz="4" w:space="0" w:color="auto"/>
              <w:left w:val="nil"/>
              <w:bottom w:val="single" w:sz="4" w:space="0" w:color="auto"/>
              <w:right w:val="single" w:sz="4" w:space="0" w:color="auto"/>
            </w:tcBorders>
            <w:noWrap/>
            <w:vAlign w:val="center"/>
          </w:tcPr>
          <w:p w14:paraId="662D02ED"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Bon</w:t>
            </w:r>
          </w:p>
        </w:tc>
      </w:tr>
      <w:tr w:rsidR="00184506" w:rsidRPr="001141A4" w14:paraId="075F18A8"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201B4D6A"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4</w:t>
            </w:r>
          </w:p>
        </w:tc>
        <w:tc>
          <w:tcPr>
            <w:tcW w:w="7610" w:type="dxa"/>
            <w:gridSpan w:val="5"/>
            <w:tcBorders>
              <w:top w:val="single" w:sz="4" w:space="0" w:color="auto"/>
              <w:left w:val="nil"/>
              <w:bottom w:val="single" w:sz="4" w:space="0" w:color="auto"/>
              <w:right w:val="single" w:sz="4" w:space="0" w:color="auto"/>
            </w:tcBorders>
            <w:noWrap/>
            <w:vAlign w:val="center"/>
          </w:tcPr>
          <w:p w14:paraId="5275AC48" w14:textId="77777777" w:rsidR="00184506" w:rsidRPr="001141A4"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Très bon</w:t>
            </w:r>
          </w:p>
        </w:tc>
      </w:tr>
      <w:tr w:rsidR="00184506" w:rsidRPr="000F75DD" w14:paraId="5BFE5FB5" w14:textId="77777777" w:rsidTr="003B4C0D">
        <w:trPr>
          <w:trHeight w:val="288"/>
        </w:trPr>
        <w:tc>
          <w:tcPr>
            <w:tcW w:w="1127" w:type="dxa"/>
            <w:tcBorders>
              <w:top w:val="nil"/>
              <w:left w:val="single" w:sz="4" w:space="0" w:color="auto"/>
              <w:bottom w:val="single" w:sz="4" w:space="0" w:color="auto"/>
              <w:right w:val="single" w:sz="4" w:space="0" w:color="auto"/>
            </w:tcBorders>
            <w:noWrap/>
            <w:vAlign w:val="center"/>
          </w:tcPr>
          <w:p w14:paraId="664197FB" w14:textId="77777777" w:rsidR="00184506" w:rsidRPr="001141A4" w:rsidRDefault="00184506" w:rsidP="003B4C0D">
            <w:pPr>
              <w:spacing w:after="0" w:line="240" w:lineRule="auto"/>
              <w:jc w:val="center"/>
              <w:rPr>
                <w:rFonts w:ascii="Arial" w:hAnsi="Arial" w:cs="Arial"/>
                <w:color w:val="000000"/>
                <w:sz w:val="16"/>
                <w:szCs w:val="16"/>
              </w:rPr>
            </w:pPr>
            <w:r w:rsidRPr="001141A4">
              <w:rPr>
                <w:rFonts w:ascii="Arial" w:hAnsi="Arial" w:cs="Arial"/>
                <w:color w:val="000000"/>
                <w:sz w:val="16"/>
                <w:szCs w:val="16"/>
              </w:rPr>
              <w:t>5</w:t>
            </w:r>
          </w:p>
        </w:tc>
        <w:tc>
          <w:tcPr>
            <w:tcW w:w="7610" w:type="dxa"/>
            <w:gridSpan w:val="5"/>
            <w:tcBorders>
              <w:top w:val="single" w:sz="4" w:space="0" w:color="auto"/>
              <w:left w:val="nil"/>
              <w:bottom w:val="single" w:sz="4" w:space="0" w:color="auto"/>
              <w:right w:val="single" w:sz="4" w:space="0" w:color="auto"/>
            </w:tcBorders>
            <w:noWrap/>
            <w:vAlign w:val="center"/>
          </w:tcPr>
          <w:p w14:paraId="7D7065CD" w14:textId="77777777" w:rsidR="00184506" w:rsidRPr="000F75DD" w:rsidRDefault="00184506" w:rsidP="003B4C0D">
            <w:pPr>
              <w:spacing w:after="0" w:line="240" w:lineRule="auto"/>
              <w:rPr>
                <w:rFonts w:ascii="Arial" w:hAnsi="Arial" w:cs="Arial"/>
                <w:color w:val="000000"/>
                <w:sz w:val="16"/>
                <w:szCs w:val="16"/>
              </w:rPr>
            </w:pPr>
            <w:r w:rsidRPr="001141A4">
              <w:rPr>
                <w:rFonts w:ascii="Arial" w:hAnsi="Arial" w:cs="Arial"/>
                <w:color w:val="000000"/>
                <w:sz w:val="16"/>
                <w:szCs w:val="16"/>
              </w:rPr>
              <w:t>Excellent</w:t>
            </w:r>
          </w:p>
        </w:tc>
      </w:tr>
      <w:tr w:rsidR="00184506" w:rsidRPr="000F75DD" w14:paraId="6AF2C500" w14:textId="77777777" w:rsidTr="003B4C0D">
        <w:trPr>
          <w:trHeight w:val="288"/>
        </w:trPr>
        <w:tc>
          <w:tcPr>
            <w:tcW w:w="1127" w:type="dxa"/>
            <w:tcBorders>
              <w:top w:val="nil"/>
              <w:left w:val="nil"/>
              <w:bottom w:val="nil"/>
              <w:right w:val="nil"/>
            </w:tcBorders>
            <w:noWrap/>
            <w:vAlign w:val="center"/>
          </w:tcPr>
          <w:p w14:paraId="48AA94DF" w14:textId="77777777" w:rsidR="00184506" w:rsidRPr="000F75DD" w:rsidRDefault="00184506" w:rsidP="003B4C0D">
            <w:pPr>
              <w:spacing w:after="0" w:line="240" w:lineRule="auto"/>
              <w:rPr>
                <w:rFonts w:ascii="Arial" w:hAnsi="Arial" w:cs="Arial"/>
                <w:color w:val="000000"/>
                <w:sz w:val="16"/>
                <w:szCs w:val="16"/>
              </w:rPr>
            </w:pPr>
          </w:p>
        </w:tc>
        <w:tc>
          <w:tcPr>
            <w:tcW w:w="2663" w:type="dxa"/>
            <w:tcBorders>
              <w:top w:val="nil"/>
              <w:left w:val="nil"/>
              <w:bottom w:val="nil"/>
              <w:right w:val="nil"/>
            </w:tcBorders>
            <w:noWrap/>
            <w:vAlign w:val="center"/>
          </w:tcPr>
          <w:p w14:paraId="531DFAFD" w14:textId="77777777" w:rsidR="00184506" w:rsidRPr="000F75DD" w:rsidRDefault="00184506" w:rsidP="003B4C0D">
            <w:pPr>
              <w:spacing w:after="0" w:line="240" w:lineRule="auto"/>
              <w:rPr>
                <w:rFonts w:ascii="Arial" w:hAnsi="Arial" w:cs="Arial"/>
                <w:color w:val="000000"/>
                <w:sz w:val="16"/>
                <w:szCs w:val="16"/>
              </w:rPr>
            </w:pPr>
          </w:p>
        </w:tc>
        <w:tc>
          <w:tcPr>
            <w:tcW w:w="1315" w:type="dxa"/>
            <w:tcBorders>
              <w:top w:val="nil"/>
              <w:left w:val="nil"/>
              <w:bottom w:val="nil"/>
              <w:right w:val="nil"/>
            </w:tcBorders>
            <w:noWrap/>
            <w:vAlign w:val="center"/>
          </w:tcPr>
          <w:p w14:paraId="40329CCB" w14:textId="77777777" w:rsidR="00184506" w:rsidRPr="000F75DD" w:rsidRDefault="00184506" w:rsidP="003B4C0D">
            <w:pPr>
              <w:spacing w:after="0" w:line="240" w:lineRule="auto"/>
              <w:jc w:val="center"/>
              <w:rPr>
                <w:rFonts w:ascii="Arial" w:hAnsi="Arial" w:cs="Arial"/>
                <w:color w:val="000000"/>
              </w:rPr>
            </w:pPr>
          </w:p>
        </w:tc>
        <w:tc>
          <w:tcPr>
            <w:tcW w:w="1158" w:type="dxa"/>
            <w:tcBorders>
              <w:top w:val="nil"/>
              <w:left w:val="nil"/>
              <w:bottom w:val="nil"/>
              <w:right w:val="nil"/>
            </w:tcBorders>
            <w:noWrap/>
            <w:vAlign w:val="center"/>
          </w:tcPr>
          <w:p w14:paraId="70B5EC43" w14:textId="77777777" w:rsidR="00184506" w:rsidRPr="000F75DD" w:rsidRDefault="00184506" w:rsidP="003B4C0D">
            <w:pPr>
              <w:spacing w:after="0" w:line="240" w:lineRule="auto"/>
              <w:rPr>
                <w:rFonts w:ascii="Arial" w:hAnsi="Arial" w:cs="Arial"/>
                <w:color w:val="000000"/>
              </w:rPr>
            </w:pPr>
          </w:p>
        </w:tc>
        <w:tc>
          <w:tcPr>
            <w:tcW w:w="1332" w:type="dxa"/>
            <w:tcBorders>
              <w:top w:val="nil"/>
              <w:left w:val="nil"/>
              <w:bottom w:val="nil"/>
              <w:right w:val="nil"/>
            </w:tcBorders>
            <w:noWrap/>
            <w:vAlign w:val="center"/>
          </w:tcPr>
          <w:p w14:paraId="0E35C259" w14:textId="77777777" w:rsidR="00184506" w:rsidRPr="000F75DD" w:rsidRDefault="00184506" w:rsidP="003B4C0D">
            <w:pPr>
              <w:spacing w:after="0" w:line="240" w:lineRule="auto"/>
              <w:rPr>
                <w:rFonts w:ascii="Arial" w:hAnsi="Arial" w:cs="Arial"/>
                <w:color w:val="000000"/>
              </w:rPr>
            </w:pPr>
          </w:p>
        </w:tc>
        <w:tc>
          <w:tcPr>
            <w:tcW w:w="1142" w:type="dxa"/>
            <w:tcBorders>
              <w:top w:val="nil"/>
              <w:left w:val="nil"/>
              <w:bottom w:val="nil"/>
              <w:right w:val="nil"/>
            </w:tcBorders>
            <w:noWrap/>
            <w:vAlign w:val="center"/>
          </w:tcPr>
          <w:p w14:paraId="3F6D9B7C" w14:textId="77777777" w:rsidR="00184506" w:rsidRPr="000F75DD" w:rsidRDefault="00184506" w:rsidP="003B4C0D">
            <w:pPr>
              <w:spacing w:after="0" w:line="240" w:lineRule="auto"/>
              <w:rPr>
                <w:rFonts w:ascii="Arial" w:hAnsi="Arial" w:cs="Arial"/>
                <w:color w:val="000000"/>
              </w:rPr>
            </w:pPr>
          </w:p>
        </w:tc>
      </w:tr>
    </w:tbl>
    <w:p w14:paraId="7E7C92D9" w14:textId="77777777" w:rsidR="00184506" w:rsidRPr="00184506" w:rsidRDefault="00184506" w:rsidP="00B6401E">
      <w:pPr>
        <w:pStyle w:val="Paragraphedeliste"/>
        <w:spacing w:after="0" w:line="240" w:lineRule="auto"/>
        <w:rPr>
          <w:rFonts w:ascii="Arial" w:hAnsi="Arial" w:cs="Arial"/>
        </w:rPr>
      </w:pPr>
    </w:p>
    <w:p w14:paraId="0C1A86CC" w14:textId="77777777" w:rsidR="00184506" w:rsidRPr="00184506" w:rsidRDefault="00184506" w:rsidP="00B6401E">
      <w:pPr>
        <w:pStyle w:val="Paragraphedeliste"/>
        <w:spacing w:after="0" w:line="240" w:lineRule="auto"/>
        <w:rPr>
          <w:rFonts w:ascii="Arial" w:hAnsi="Arial" w:cs="Arial"/>
          <w:lang w:eastAsia="zh-CN"/>
        </w:rPr>
      </w:pPr>
    </w:p>
    <w:p w14:paraId="70B1EC3D" w14:textId="77777777" w:rsidR="00FC12B5" w:rsidRPr="00C705EF" w:rsidRDefault="00FC12B5" w:rsidP="002E22AC">
      <w:pPr>
        <w:spacing w:after="0" w:line="240" w:lineRule="auto"/>
        <w:rPr>
          <w:lang w:eastAsia="zh-CN"/>
        </w:rPr>
      </w:pPr>
    </w:p>
    <w:sectPr w:rsidR="00FC12B5" w:rsidRPr="00C705EF" w:rsidSect="00B6401E">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20863" w14:textId="77777777" w:rsidR="00123C79" w:rsidRDefault="00123C79" w:rsidP="00E2354C">
      <w:pPr>
        <w:spacing w:after="0" w:line="240" w:lineRule="auto"/>
      </w:pPr>
      <w:r>
        <w:separator/>
      </w:r>
    </w:p>
  </w:endnote>
  <w:endnote w:type="continuationSeparator" w:id="0">
    <w:p w14:paraId="79A8DC43" w14:textId="77777777" w:rsidR="00123C79" w:rsidRDefault="00123C79" w:rsidP="00E2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062F" w14:textId="0108524A" w:rsidR="00123C79" w:rsidRDefault="00757C44">
    <w:pPr>
      <w:pStyle w:val="Pieddepage"/>
      <w:jc w:val="right"/>
    </w:pPr>
    <w:r>
      <w:fldChar w:fldCharType="begin"/>
    </w:r>
    <w:r>
      <w:instrText xml:space="preserve"> PAGE   \* MERGEFORMAT </w:instrText>
    </w:r>
    <w:r>
      <w:fldChar w:fldCharType="separate"/>
    </w:r>
    <w:r w:rsidR="00000907">
      <w:rPr>
        <w:noProof/>
      </w:rPr>
      <w:t>13</w:t>
    </w:r>
    <w:r>
      <w:rPr>
        <w:noProof/>
      </w:rPr>
      <w:fldChar w:fldCharType="end"/>
    </w:r>
  </w:p>
  <w:p w14:paraId="083EF5C5" w14:textId="77777777" w:rsidR="00123C79" w:rsidRDefault="00801FC9">
    <w:pPr>
      <w:pStyle w:val="Pieddepage"/>
    </w:pPr>
    <w:r>
      <w:t>Appel à projets 2021</w:t>
    </w:r>
    <w:r w:rsidR="00123C79">
      <w:t xml:space="preserve"> – mesure 28 du FEAMP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FFC3E" w14:textId="77777777" w:rsidR="00123C79" w:rsidRDefault="00123C79" w:rsidP="00E2354C">
      <w:pPr>
        <w:spacing w:after="0" w:line="240" w:lineRule="auto"/>
      </w:pPr>
      <w:r>
        <w:separator/>
      </w:r>
    </w:p>
  </w:footnote>
  <w:footnote w:type="continuationSeparator" w:id="0">
    <w:p w14:paraId="04857863" w14:textId="77777777" w:rsidR="00123C79" w:rsidRDefault="00123C79" w:rsidP="00E2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FE6209A"/>
    <w:lvl w:ilvl="0">
      <w:start w:val="1"/>
      <w:numFmt w:val="decimal"/>
      <w:pStyle w:val="Titre1"/>
      <w:lvlText w:val="%1"/>
      <w:lvlJc w:val="left"/>
      <w:pPr>
        <w:tabs>
          <w:tab w:val="num" w:pos="432"/>
        </w:tabs>
        <w:ind w:left="432" w:hanging="432"/>
      </w:pPr>
      <w:rPr>
        <w:rFonts w:cs="Times New Roman"/>
        <w:b/>
        <w:bCs/>
      </w:rPr>
    </w:lvl>
    <w:lvl w:ilvl="1">
      <w:start w:val="1"/>
      <w:numFmt w:val="decimal"/>
      <w:pStyle w:val="Titre2"/>
      <w:lvlText w:val="%1.%2"/>
      <w:lvlJc w:val="left"/>
      <w:pPr>
        <w:tabs>
          <w:tab w:val="num" w:pos="576"/>
        </w:tabs>
        <w:ind w:left="576" w:hanging="576"/>
      </w:pPr>
      <w:rPr>
        <w:rFonts w:cs="Times New Roman"/>
      </w:rPr>
    </w:lvl>
    <w:lvl w:ilvl="2">
      <w:start w:val="1"/>
      <w:numFmt w:val="bullet"/>
      <w:lvlText w:val=""/>
      <w:lvlJc w:val="left"/>
      <w:pPr>
        <w:tabs>
          <w:tab w:val="num" w:pos="720"/>
        </w:tabs>
        <w:ind w:left="720" w:hanging="720"/>
      </w:pPr>
      <w:rPr>
        <w:rFonts w:ascii="Symbol" w:hAnsi="Symbol"/>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E02BB6"/>
    <w:multiLevelType w:val="hybridMultilevel"/>
    <w:tmpl w:val="2D30EA30"/>
    <w:lvl w:ilvl="0" w:tplc="BFEAF61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74C4C"/>
    <w:multiLevelType w:val="hybridMultilevel"/>
    <w:tmpl w:val="7E52A5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15CAD"/>
    <w:multiLevelType w:val="hybridMultilevel"/>
    <w:tmpl w:val="3C90D616"/>
    <w:lvl w:ilvl="0" w:tplc="D6C4CE5C">
      <w:start w:val="7"/>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2AC2C422">
      <w:start w:val="1"/>
      <w:numFmt w:val="bullet"/>
      <w:lvlText w:val=""/>
      <w:lvlJc w:val="left"/>
      <w:pPr>
        <w:tabs>
          <w:tab w:val="num" w:pos="3600"/>
        </w:tabs>
        <w:ind w:left="3600" w:hanging="360"/>
      </w:pPr>
      <w:rPr>
        <w:rFonts w:ascii="Symbol" w:hAnsi="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00F49"/>
    <w:multiLevelType w:val="hybridMultilevel"/>
    <w:tmpl w:val="451CDA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03183"/>
    <w:multiLevelType w:val="hybridMultilevel"/>
    <w:tmpl w:val="46EC606A"/>
    <w:lvl w:ilvl="0" w:tplc="C4521F5E">
      <w:start w:val="1"/>
      <w:numFmt w:val="bullet"/>
      <w:lvlText w:val="-"/>
      <w:lvlJc w:val="left"/>
      <w:pPr>
        <w:ind w:left="720" w:hanging="360"/>
      </w:pPr>
      <w:rPr>
        <w:rFonts w:ascii="Arial" w:eastAsia="Times New Roman" w:hAnsi="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54307E"/>
    <w:multiLevelType w:val="hybridMultilevel"/>
    <w:tmpl w:val="3D9CD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D303B6"/>
    <w:multiLevelType w:val="hybridMultilevel"/>
    <w:tmpl w:val="44168BD6"/>
    <w:lvl w:ilvl="0" w:tplc="F2E85FBC">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873D53"/>
    <w:multiLevelType w:val="hybridMultilevel"/>
    <w:tmpl w:val="153847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BD0CBC"/>
    <w:multiLevelType w:val="multilevel"/>
    <w:tmpl w:val="9232FA86"/>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88C5B9B"/>
    <w:multiLevelType w:val="hybridMultilevel"/>
    <w:tmpl w:val="2DAEB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F119CA"/>
    <w:multiLevelType w:val="hybridMultilevel"/>
    <w:tmpl w:val="DF52CC6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4045F"/>
    <w:multiLevelType w:val="hybridMultilevel"/>
    <w:tmpl w:val="D78827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DE7BF7"/>
    <w:multiLevelType w:val="multilevel"/>
    <w:tmpl w:val="ECCE42CE"/>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667E47DF"/>
    <w:multiLevelType w:val="hybridMultilevel"/>
    <w:tmpl w:val="F6BE7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B74D62"/>
    <w:multiLevelType w:val="multilevel"/>
    <w:tmpl w:val="BD66939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709F52F2"/>
    <w:multiLevelType w:val="multilevel"/>
    <w:tmpl w:val="B3B0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A601C"/>
    <w:multiLevelType w:val="hybridMultilevel"/>
    <w:tmpl w:val="AA0AC3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67587E"/>
    <w:multiLevelType w:val="hybridMultilevel"/>
    <w:tmpl w:val="36EEBF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0"/>
  </w:num>
  <w:num w:numId="4">
    <w:abstractNumId w:val="11"/>
  </w:num>
  <w:num w:numId="5">
    <w:abstractNumId w:val="17"/>
  </w:num>
  <w:num w:numId="6">
    <w:abstractNumId w:val="2"/>
  </w:num>
  <w:num w:numId="7">
    <w:abstractNumId w:val="18"/>
  </w:num>
  <w:num w:numId="8">
    <w:abstractNumId w:val="10"/>
  </w:num>
  <w:num w:numId="9">
    <w:abstractNumId w:val="14"/>
  </w:num>
  <w:num w:numId="10">
    <w:abstractNumId w:val="8"/>
  </w:num>
  <w:num w:numId="11">
    <w:abstractNumId w:val="3"/>
  </w:num>
  <w:num w:numId="12">
    <w:abstractNumId w:val="5"/>
  </w:num>
  <w:num w:numId="13">
    <w:abstractNumId w:val="1"/>
  </w:num>
  <w:num w:numId="14">
    <w:abstractNumId w:val="16"/>
  </w:num>
  <w:num w:numId="15">
    <w:abstractNumId w:val="4"/>
  </w:num>
  <w:num w:numId="16">
    <w:abstractNumId w:val="9"/>
  </w:num>
  <w:num w:numId="17">
    <w:abstractNumId w:val="13"/>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E3"/>
    <w:rsid w:val="00000907"/>
    <w:rsid w:val="00013335"/>
    <w:rsid w:val="000376B6"/>
    <w:rsid w:val="00045A93"/>
    <w:rsid w:val="00050EFA"/>
    <w:rsid w:val="00051973"/>
    <w:rsid w:val="00055B88"/>
    <w:rsid w:val="00060F2F"/>
    <w:rsid w:val="00072760"/>
    <w:rsid w:val="0008233A"/>
    <w:rsid w:val="0008383D"/>
    <w:rsid w:val="000B3A22"/>
    <w:rsid w:val="000B44E8"/>
    <w:rsid w:val="000C3521"/>
    <w:rsid w:val="000C62E0"/>
    <w:rsid w:val="000D04CE"/>
    <w:rsid w:val="000E223F"/>
    <w:rsid w:val="000F7387"/>
    <w:rsid w:val="00100E91"/>
    <w:rsid w:val="001035D7"/>
    <w:rsid w:val="001141A4"/>
    <w:rsid w:val="0012189A"/>
    <w:rsid w:val="00123C79"/>
    <w:rsid w:val="00140501"/>
    <w:rsid w:val="00173C9D"/>
    <w:rsid w:val="00175F62"/>
    <w:rsid w:val="00176116"/>
    <w:rsid w:val="00184506"/>
    <w:rsid w:val="0019495C"/>
    <w:rsid w:val="001C1A8A"/>
    <w:rsid w:val="001E428F"/>
    <w:rsid w:val="001E4CA4"/>
    <w:rsid w:val="00277C73"/>
    <w:rsid w:val="002B203E"/>
    <w:rsid w:val="002C2CD8"/>
    <w:rsid w:val="002C578F"/>
    <w:rsid w:val="002D2CFA"/>
    <w:rsid w:val="002E22AC"/>
    <w:rsid w:val="002F3518"/>
    <w:rsid w:val="003023B4"/>
    <w:rsid w:val="003213C6"/>
    <w:rsid w:val="00346C8E"/>
    <w:rsid w:val="00363C6E"/>
    <w:rsid w:val="003A6857"/>
    <w:rsid w:val="003B2305"/>
    <w:rsid w:val="003B4C0D"/>
    <w:rsid w:val="003C5532"/>
    <w:rsid w:val="003C6FC6"/>
    <w:rsid w:val="003D1DAB"/>
    <w:rsid w:val="003D4E4A"/>
    <w:rsid w:val="003D78E3"/>
    <w:rsid w:val="00411468"/>
    <w:rsid w:val="004117F5"/>
    <w:rsid w:val="00417428"/>
    <w:rsid w:val="0043043F"/>
    <w:rsid w:val="0044246E"/>
    <w:rsid w:val="004504B0"/>
    <w:rsid w:val="00467C38"/>
    <w:rsid w:val="004750A2"/>
    <w:rsid w:val="00476946"/>
    <w:rsid w:val="004A0FD0"/>
    <w:rsid w:val="004B665D"/>
    <w:rsid w:val="004C13E6"/>
    <w:rsid w:val="004C52F3"/>
    <w:rsid w:val="004F00B1"/>
    <w:rsid w:val="004F6778"/>
    <w:rsid w:val="005221D6"/>
    <w:rsid w:val="00553F91"/>
    <w:rsid w:val="00573A29"/>
    <w:rsid w:val="00574110"/>
    <w:rsid w:val="0057630F"/>
    <w:rsid w:val="0058396A"/>
    <w:rsid w:val="00595F43"/>
    <w:rsid w:val="005A1DFA"/>
    <w:rsid w:val="005D00F0"/>
    <w:rsid w:val="005D56AE"/>
    <w:rsid w:val="005E1FB1"/>
    <w:rsid w:val="00605D0A"/>
    <w:rsid w:val="0063720B"/>
    <w:rsid w:val="00641700"/>
    <w:rsid w:val="00646CAD"/>
    <w:rsid w:val="006537F0"/>
    <w:rsid w:val="0065426B"/>
    <w:rsid w:val="00655991"/>
    <w:rsid w:val="006745EC"/>
    <w:rsid w:val="00682170"/>
    <w:rsid w:val="006F2883"/>
    <w:rsid w:val="00706334"/>
    <w:rsid w:val="00706BA6"/>
    <w:rsid w:val="00715345"/>
    <w:rsid w:val="0072769F"/>
    <w:rsid w:val="00727A2E"/>
    <w:rsid w:val="007340EC"/>
    <w:rsid w:val="00742C3F"/>
    <w:rsid w:val="00757C44"/>
    <w:rsid w:val="007A045D"/>
    <w:rsid w:val="007A4B7A"/>
    <w:rsid w:val="007E750C"/>
    <w:rsid w:val="00801FC9"/>
    <w:rsid w:val="00811952"/>
    <w:rsid w:val="008136D0"/>
    <w:rsid w:val="00820037"/>
    <w:rsid w:val="00824A6F"/>
    <w:rsid w:val="008261FD"/>
    <w:rsid w:val="00840229"/>
    <w:rsid w:val="008634F1"/>
    <w:rsid w:val="008B20C2"/>
    <w:rsid w:val="008D097C"/>
    <w:rsid w:val="008D2EB5"/>
    <w:rsid w:val="008F2342"/>
    <w:rsid w:val="00912372"/>
    <w:rsid w:val="00941870"/>
    <w:rsid w:val="009560F8"/>
    <w:rsid w:val="00961F4B"/>
    <w:rsid w:val="00964E41"/>
    <w:rsid w:val="009676A9"/>
    <w:rsid w:val="00982FFF"/>
    <w:rsid w:val="009B6183"/>
    <w:rsid w:val="009F00A1"/>
    <w:rsid w:val="00A015F9"/>
    <w:rsid w:val="00A0257A"/>
    <w:rsid w:val="00A17421"/>
    <w:rsid w:val="00A451D0"/>
    <w:rsid w:val="00A534E3"/>
    <w:rsid w:val="00A760CB"/>
    <w:rsid w:val="00AC6CCD"/>
    <w:rsid w:val="00AD01B7"/>
    <w:rsid w:val="00AE72EB"/>
    <w:rsid w:val="00B0190B"/>
    <w:rsid w:val="00B11C93"/>
    <w:rsid w:val="00B150EC"/>
    <w:rsid w:val="00B52B45"/>
    <w:rsid w:val="00B6401E"/>
    <w:rsid w:val="00B66F7D"/>
    <w:rsid w:val="00B7327C"/>
    <w:rsid w:val="00B747B9"/>
    <w:rsid w:val="00B7736B"/>
    <w:rsid w:val="00B9230F"/>
    <w:rsid w:val="00BD7499"/>
    <w:rsid w:val="00BE181F"/>
    <w:rsid w:val="00BF3CFD"/>
    <w:rsid w:val="00C26073"/>
    <w:rsid w:val="00C62258"/>
    <w:rsid w:val="00C6779A"/>
    <w:rsid w:val="00C705EF"/>
    <w:rsid w:val="00C82E96"/>
    <w:rsid w:val="00CA21EF"/>
    <w:rsid w:val="00CA2FEF"/>
    <w:rsid w:val="00CB435E"/>
    <w:rsid w:val="00CC3D75"/>
    <w:rsid w:val="00CD3603"/>
    <w:rsid w:val="00D11EB7"/>
    <w:rsid w:val="00D1228E"/>
    <w:rsid w:val="00D27760"/>
    <w:rsid w:val="00D3186B"/>
    <w:rsid w:val="00D45B9D"/>
    <w:rsid w:val="00D87DD7"/>
    <w:rsid w:val="00DA5799"/>
    <w:rsid w:val="00DA61AE"/>
    <w:rsid w:val="00DD10A8"/>
    <w:rsid w:val="00DD3C04"/>
    <w:rsid w:val="00DD3FE3"/>
    <w:rsid w:val="00E0099A"/>
    <w:rsid w:val="00E03B29"/>
    <w:rsid w:val="00E2073F"/>
    <w:rsid w:val="00E20CDF"/>
    <w:rsid w:val="00E2354C"/>
    <w:rsid w:val="00E4209A"/>
    <w:rsid w:val="00EC18FF"/>
    <w:rsid w:val="00ED2C04"/>
    <w:rsid w:val="00ED2E2B"/>
    <w:rsid w:val="00ED30CE"/>
    <w:rsid w:val="00EE329E"/>
    <w:rsid w:val="00EF7294"/>
    <w:rsid w:val="00F0425C"/>
    <w:rsid w:val="00F11A98"/>
    <w:rsid w:val="00F17E89"/>
    <w:rsid w:val="00F2544F"/>
    <w:rsid w:val="00F3678F"/>
    <w:rsid w:val="00F41FE4"/>
    <w:rsid w:val="00F4562B"/>
    <w:rsid w:val="00F66F15"/>
    <w:rsid w:val="00F7692E"/>
    <w:rsid w:val="00F92F33"/>
    <w:rsid w:val="00FC03CB"/>
    <w:rsid w:val="00FC12B5"/>
    <w:rsid w:val="00FD2A4E"/>
    <w:rsid w:val="00FD537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61733D75"/>
  <w15:docId w15:val="{C727C3F7-7777-47AB-9C9E-6C0B9595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258"/>
    <w:pPr>
      <w:spacing w:after="200" w:line="276" w:lineRule="auto"/>
    </w:pPr>
    <w:rPr>
      <w:rFonts w:eastAsia="Times New Roman"/>
      <w:sz w:val="22"/>
      <w:szCs w:val="22"/>
    </w:rPr>
  </w:style>
  <w:style w:type="paragraph" w:styleId="Titre1">
    <w:name w:val="heading 1"/>
    <w:basedOn w:val="Normal"/>
    <w:next w:val="Normal"/>
    <w:link w:val="Titre1Car"/>
    <w:uiPriority w:val="99"/>
    <w:qFormat/>
    <w:rsid w:val="00961F4B"/>
    <w:pPr>
      <w:keepNext/>
      <w:numPr>
        <w:numId w:val="3"/>
      </w:numPr>
      <w:suppressAutoHyphens/>
      <w:spacing w:after="0" w:line="240" w:lineRule="auto"/>
      <w:jc w:val="both"/>
      <w:outlineLvl w:val="0"/>
    </w:pPr>
    <w:rPr>
      <w:rFonts w:ascii="Arial" w:hAnsi="Arial" w:cs="Arial"/>
      <w:b/>
      <w:sz w:val="24"/>
      <w:szCs w:val="24"/>
      <w:u w:val="single"/>
      <w:lang w:eastAsia="zh-CN"/>
    </w:rPr>
  </w:style>
  <w:style w:type="paragraph" w:styleId="Titre2">
    <w:name w:val="heading 2"/>
    <w:basedOn w:val="Normal"/>
    <w:next w:val="Normal"/>
    <w:link w:val="Titre2Car"/>
    <w:uiPriority w:val="99"/>
    <w:qFormat/>
    <w:rsid w:val="00961F4B"/>
    <w:pPr>
      <w:keepNext/>
      <w:numPr>
        <w:ilvl w:val="1"/>
        <w:numId w:val="3"/>
      </w:numPr>
      <w:suppressAutoHyphens/>
      <w:spacing w:after="0" w:line="240" w:lineRule="auto"/>
      <w:jc w:val="both"/>
      <w:outlineLvl w:val="1"/>
    </w:pPr>
    <w:rPr>
      <w:rFonts w:ascii="Arial" w:hAnsi="Arial" w:cs="Arial"/>
      <w:b/>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1F4B"/>
    <w:rPr>
      <w:rFonts w:ascii="Arial" w:hAnsi="Arial" w:cs="Arial"/>
      <w:b/>
      <w:sz w:val="24"/>
      <w:szCs w:val="24"/>
      <w:u w:val="single"/>
      <w:lang w:eastAsia="zh-CN"/>
    </w:rPr>
  </w:style>
  <w:style w:type="character" w:customStyle="1" w:styleId="Titre2Car">
    <w:name w:val="Titre 2 Car"/>
    <w:basedOn w:val="Policepardfaut"/>
    <w:link w:val="Titre2"/>
    <w:uiPriority w:val="99"/>
    <w:locked/>
    <w:rsid w:val="00961F4B"/>
    <w:rPr>
      <w:rFonts w:ascii="Arial" w:hAnsi="Arial" w:cs="Arial"/>
      <w:b/>
      <w:sz w:val="24"/>
      <w:szCs w:val="24"/>
      <w:lang w:eastAsia="zh-CN"/>
    </w:rPr>
  </w:style>
  <w:style w:type="paragraph" w:styleId="Corpsdetexte">
    <w:name w:val="Body Text"/>
    <w:basedOn w:val="Normal"/>
    <w:link w:val="CorpsdetexteCar"/>
    <w:rsid w:val="00C62258"/>
    <w:pPr>
      <w:spacing w:after="0" w:line="240" w:lineRule="auto"/>
      <w:jc w:val="both"/>
    </w:pPr>
    <w:rPr>
      <w:rFonts w:ascii="Arial" w:hAnsi="Arial"/>
      <w:sz w:val="20"/>
      <w:szCs w:val="24"/>
    </w:rPr>
  </w:style>
  <w:style w:type="character" w:customStyle="1" w:styleId="CorpsdetexteCar">
    <w:name w:val="Corps de texte Car"/>
    <w:basedOn w:val="Policepardfaut"/>
    <w:link w:val="Corpsdetexte"/>
    <w:locked/>
    <w:rsid w:val="00C62258"/>
    <w:rPr>
      <w:rFonts w:ascii="Arial" w:hAnsi="Arial" w:cs="Times New Roman"/>
      <w:sz w:val="24"/>
      <w:szCs w:val="24"/>
      <w:lang w:eastAsia="fr-FR"/>
    </w:rPr>
  </w:style>
  <w:style w:type="paragraph" w:styleId="Textedebulles">
    <w:name w:val="Balloon Text"/>
    <w:basedOn w:val="Normal"/>
    <w:link w:val="TextedebullesCar"/>
    <w:uiPriority w:val="99"/>
    <w:semiHidden/>
    <w:rsid w:val="00C62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62258"/>
    <w:rPr>
      <w:rFonts w:ascii="Tahoma" w:hAnsi="Tahoma" w:cs="Tahoma"/>
      <w:sz w:val="16"/>
      <w:szCs w:val="16"/>
      <w:lang w:eastAsia="fr-FR"/>
    </w:rPr>
  </w:style>
  <w:style w:type="paragraph" w:styleId="Paragraphedeliste">
    <w:name w:val="List Paragraph"/>
    <w:basedOn w:val="Normal"/>
    <w:uiPriority w:val="34"/>
    <w:qFormat/>
    <w:rsid w:val="00553F91"/>
    <w:pPr>
      <w:ind w:left="720"/>
      <w:contextualSpacing/>
    </w:pPr>
  </w:style>
  <w:style w:type="paragraph" w:styleId="En-tte">
    <w:name w:val="header"/>
    <w:basedOn w:val="Normal"/>
    <w:link w:val="En-tteCar"/>
    <w:uiPriority w:val="99"/>
    <w:semiHidden/>
    <w:rsid w:val="00E2354C"/>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E2354C"/>
    <w:rPr>
      <w:rFonts w:eastAsia="Times New Roman" w:cs="Times New Roman"/>
      <w:lang w:eastAsia="fr-FR"/>
    </w:rPr>
  </w:style>
  <w:style w:type="paragraph" w:styleId="Pieddepage">
    <w:name w:val="footer"/>
    <w:basedOn w:val="Normal"/>
    <w:link w:val="PieddepageCar"/>
    <w:uiPriority w:val="99"/>
    <w:rsid w:val="00E2354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E2354C"/>
    <w:rPr>
      <w:rFonts w:eastAsia="Times New Roman" w:cs="Times New Roman"/>
      <w:lang w:eastAsia="fr-FR"/>
    </w:rPr>
  </w:style>
  <w:style w:type="paragraph" w:styleId="Retraitcorpsdetexte">
    <w:name w:val="Body Text Indent"/>
    <w:basedOn w:val="Normal"/>
    <w:link w:val="RetraitcorpsdetexteCar"/>
    <w:uiPriority w:val="99"/>
    <w:rsid w:val="00961F4B"/>
    <w:pPr>
      <w:spacing w:after="120"/>
      <w:ind w:left="283"/>
    </w:pPr>
  </w:style>
  <w:style w:type="character" w:customStyle="1" w:styleId="RetraitcorpsdetexteCar">
    <w:name w:val="Retrait corps de texte Car"/>
    <w:basedOn w:val="Policepardfaut"/>
    <w:link w:val="Retraitcorpsdetexte"/>
    <w:uiPriority w:val="99"/>
    <w:locked/>
    <w:rsid w:val="00961F4B"/>
    <w:rPr>
      <w:rFonts w:eastAsia="Times New Roman" w:cs="Times New Roman"/>
      <w:lang w:eastAsia="fr-FR"/>
    </w:rPr>
  </w:style>
  <w:style w:type="paragraph" w:styleId="Notedebasdepage">
    <w:name w:val="footnote text"/>
    <w:basedOn w:val="Normal"/>
    <w:link w:val="NotedebasdepageCar"/>
    <w:uiPriority w:val="99"/>
    <w:rsid w:val="00961F4B"/>
    <w:pPr>
      <w:suppressAutoHyphens/>
      <w:spacing w:after="0" w:line="240" w:lineRule="auto"/>
    </w:pPr>
    <w:rPr>
      <w:rFonts w:ascii="Arial" w:hAnsi="Arial" w:cs="Arial"/>
      <w:sz w:val="20"/>
      <w:szCs w:val="20"/>
      <w:lang w:eastAsia="zh-CN"/>
    </w:rPr>
  </w:style>
  <w:style w:type="character" w:customStyle="1" w:styleId="NotedebasdepageCar">
    <w:name w:val="Note de bas de page Car"/>
    <w:basedOn w:val="Policepardfaut"/>
    <w:link w:val="Notedebasdepage"/>
    <w:uiPriority w:val="99"/>
    <w:locked/>
    <w:rsid w:val="00961F4B"/>
    <w:rPr>
      <w:rFonts w:ascii="Arial" w:hAnsi="Arial" w:cs="Arial"/>
      <w:sz w:val="20"/>
      <w:szCs w:val="20"/>
      <w:lang w:eastAsia="zh-CN"/>
    </w:rPr>
  </w:style>
  <w:style w:type="character" w:styleId="Appelnotedebasdep">
    <w:name w:val="footnote reference"/>
    <w:basedOn w:val="Policepardfaut"/>
    <w:uiPriority w:val="99"/>
    <w:rsid w:val="00961F4B"/>
    <w:rPr>
      <w:rFonts w:cs="Times New Roman"/>
      <w:vertAlign w:val="superscript"/>
    </w:rPr>
  </w:style>
  <w:style w:type="paragraph" w:customStyle="1" w:styleId="Retraitcorpsdetexte21">
    <w:name w:val="Retrait corps de texte 21"/>
    <w:basedOn w:val="Normal"/>
    <w:uiPriority w:val="99"/>
    <w:rsid w:val="00840229"/>
    <w:pPr>
      <w:tabs>
        <w:tab w:val="left" w:pos="7371"/>
      </w:tabs>
      <w:suppressAutoHyphens/>
      <w:spacing w:before="120" w:after="0" w:line="240" w:lineRule="auto"/>
      <w:ind w:left="851"/>
      <w:jc w:val="both"/>
    </w:pPr>
    <w:rPr>
      <w:rFonts w:ascii="Arial" w:hAnsi="Arial" w:cs="Arial"/>
      <w:szCs w:val="20"/>
      <w:lang w:eastAsia="zh-CN"/>
    </w:rPr>
  </w:style>
  <w:style w:type="paragraph" w:customStyle="1" w:styleId="Default">
    <w:name w:val="Default"/>
    <w:uiPriority w:val="99"/>
    <w:rsid w:val="004F00B1"/>
    <w:pPr>
      <w:autoSpaceDE w:val="0"/>
      <w:autoSpaceDN w:val="0"/>
      <w:adjustRightInd w:val="0"/>
    </w:pPr>
    <w:rPr>
      <w:rFonts w:ascii="Times New Roman" w:hAnsi="Times New Roman"/>
      <w:color w:val="000000"/>
      <w:sz w:val="24"/>
      <w:szCs w:val="24"/>
      <w:lang w:eastAsia="en-US"/>
    </w:rPr>
  </w:style>
  <w:style w:type="character" w:styleId="Lienhypertexte">
    <w:name w:val="Hyperlink"/>
    <w:basedOn w:val="Policepardfaut"/>
    <w:uiPriority w:val="99"/>
    <w:rsid w:val="004F00B1"/>
    <w:rPr>
      <w:rFonts w:cs="Times New Roman"/>
      <w:color w:val="0000FF"/>
      <w:u w:val="single"/>
    </w:rPr>
  </w:style>
  <w:style w:type="character" w:styleId="Accentuation">
    <w:name w:val="Emphasis"/>
    <w:basedOn w:val="Policepardfaut"/>
    <w:uiPriority w:val="99"/>
    <w:qFormat/>
    <w:rsid w:val="00E03B29"/>
    <w:rPr>
      <w:rFonts w:cs="Times New Roman"/>
      <w:i/>
    </w:rPr>
  </w:style>
  <w:style w:type="paragraph" w:styleId="TM1">
    <w:name w:val="toc 1"/>
    <w:basedOn w:val="Normal"/>
    <w:next w:val="Normal"/>
    <w:autoRedefine/>
    <w:uiPriority w:val="39"/>
    <w:rsid w:val="00646CAD"/>
    <w:pPr>
      <w:spacing w:after="100"/>
    </w:pPr>
  </w:style>
  <w:style w:type="paragraph" w:styleId="TM2">
    <w:name w:val="toc 2"/>
    <w:basedOn w:val="Normal"/>
    <w:next w:val="Normal"/>
    <w:autoRedefine/>
    <w:uiPriority w:val="39"/>
    <w:rsid w:val="00646CAD"/>
    <w:pPr>
      <w:spacing w:after="100"/>
      <w:ind w:left="220"/>
    </w:pPr>
  </w:style>
  <w:style w:type="character" w:customStyle="1" w:styleId="CarCar4">
    <w:name w:val="Car Car4"/>
    <w:uiPriority w:val="99"/>
    <w:rsid w:val="0043043F"/>
    <w:rPr>
      <w:rFonts w:ascii="Arial" w:hAnsi="Arial"/>
      <w:sz w:val="24"/>
      <w:lang w:val="fr-FR" w:eastAsia="zh-CN"/>
    </w:rPr>
  </w:style>
  <w:style w:type="character" w:styleId="Marquedecommentaire">
    <w:name w:val="annotation reference"/>
    <w:basedOn w:val="Policepardfaut"/>
    <w:uiPriority w:val="99"/>
    <w:rsid w:val="0043043F"/>
    <w:rPr>
      <w:sz w:val="16"/>
    </w:rPr>
  </w:style>
  <w:style w:type="paragraph" w:styleId="Commentaire">
    <w:name w:val="annotation text"/>
    <w:basedOn w:val="Normal"/>
    <w:link w:val="CommentaireCar"/>
    <w:uiPriority w:val="99"/>
    <w:rsid w:val="0043043F"/>
    <w:pPr>
      <w:suppressAutoHyphens/>
      <w:spacing w:after="0" w:line="240" w:lineRule="auto"/>
      <w:jc w:val="both"/>
    </w:pPr>
    <w:rPr>
      <w:rFonts w:ascii="Arial" w:eastAsia="Calibri" w:hAnsi="Arial"/>
      <w:sz w:val="20"/>
      <w:szCs w:val="20"/>
      <w:lang w:eastAsia="zh-CN"/>
    </w:rPr>
  </w:style>
  <w:style w:type="character" w:customStyle="1" w:styleId="CommentTextChar">
    <w:name w:val="Comment Text Char"/>
    <w:basedOn w:val="Policepardfaut"/>
    <w:uiPriority w:val="99"/>
    <w:semiHidden/>
    <w:rsid w:val="001102C1"/>
    <w:rPr>
      <w:rFonts w:eastAsia="Times New Roman"/>
      <w:sz w:val="20"/>
      <w:szCs w:val="20"/>
    </w:rPr>
  </w:style>
  <w:style w:type="character" w:customStyle="1" w:styleId="CommentaireCar">
    <w:name w:val="Commentaire Car"/>
    <w:link w:val="Commentaire"/>
    <w:uiPriority w:val="99"/>
    <w:locked/>
    <w:rsid w:val="0043043F"/>
    <w:rPr>
      <w:rFonts w:ascii="Arial" w:hAnsi="Arial"/>
      <w:lang w:val="fr-FR" w:eastAsia="zh-CN"/>
    </w:rPr>
  </w:style>
  <w:style w:type="paragraph" w:styleId="Objetducommentaire">
    <w:name w:val="annotation subject"/>
    <w:basedOn w:val="Commentaire"/>
    <w:next w:val="Commentaire"/>
    <w:link w:val="ObjetducommentaireCar"/>
    <w:uiPriority w:val="99"/>
    <w:semiHidden/>
    <w:unhideWhenUsed/>
    <w:rsid w:val="005D56AE"/>
    <w:pPr>
      <w:suppressAutoHyphens w:val="0"/>
      <w:spacing w:after="200"/>
      <w:jc w:val="left"/>
    </w:pPr>
    <w:rPr>
      <w:rFonts w:ascii="Calibri" w:eastAsia="Times New Roman" w:hAnsi="Calibri"/>
      <w:b/>
      <w:bCs/>
      <w:lang w:eastAsia="fr-FR"/>
    </w:rPr>
  </w:style>
  <w:style w:type="character" w:customStyle="1" w:styleId="ObjetducommentaireCar">
    <w:name w:val="Objet du commentaire Car"/>
    <w:basedOn w:val="CommentaireCar"/>
    <w:link w:val="Objetducommentaire"/>
    <w:uiPriority w:val="99"/>
    <w:semiHidden/>
    <w:rsid w:val="005D56AE"/>
    <w:rPr>
      <w:rFonts w:ascii="Arial" w:eastAsia="Times New Roman" w:hAnsi="Arial"/>
      <w:b/>
      <w:bCs/>
      <w:lang w:val="fr-FR" w:eastAsia="zh-CN"/>
    </w:rPr>
  </w:style>
  <w:style w:type="table" w:styleId="Grilledutableau">
    <w:name w:val="Table Grid"/>
    <w:basedOn w:val="TableauNormal"/>
    <w:locked/>
    <w:rsid w:val="00A17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F2342"/>
    <w:pPr>
      <w:spacing w:before="100" w:beforeAutospacing="1" w:after="100" w:afterAutospacing="1" w:line="240" w:lineRule="auto"/>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73530">
      <w:bodyDiv w:val="1"/>
      <w:marLeft w:val="0"/>
      <w:marRight w:val="0"/>
      <w:marTop w:val="0"/>
      <w:marBottom w:val="0"/>
      <w:divBdr>
        <w:top w:val="none" w:sz="0" w:space="0" w:color="auto"/>
        <w:left w:val="none" w:sz="0" w:space="0" w:color="auto"/>
        <w:bottom w:val="none" w:sz="0" w:space="0" w:color="auto"/>
        <w:right w:val="none" w:sz="0" w:space="0" w:color="auto"/>
      </w:divBdr>
    </w:div>
    <w:div w:id="193740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urope-en-france.gouv.fr/fr/programmes-europeens-2014-2020/le-programme-national-fea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feamp2840.dpma@agriculture.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5ADD-F616-435E-A01C-DEE398B7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3471</Words>
  <Characters>20618</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marion.cuif</dc:creator>
  <cp:keywords/>
  <dc:description/>
  <cp:lastModifiedBy>VERON Louise</cp:lastModifiedBy>
  <cp:revision>3</cp:revision>
  <cp:lastPrinted>2021-03-02T15:41:00Z</cp:lastPrinted>
  <dcterms:created xsi:type="dcterms:W3CDTF">2021-03-02T15:40:00Z</dcterms:created>
  <dcterms:modified xsi:type="dcterms:W3CDTF">2021-03-02T15:57:00Z</dcterms:modified>
</cp:coreProperties>
</file>