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124" w:rsidRDefault="00ED1124" w:rsidP="00ED1124">
      <w:pPr>
        <w:pStyle w:val="Paragraphedeliste"/>
        <w:rPr>
          <w:rFonts w:ascii="Marianne" w:hAnsi="Marianne" w:cs="Calibri"/>
          <w:b/>
          <w:bCs/>
          <w:sz w:val="24"/>
          <w:szCs w:val="18"/>
        </w:rPr>
      </w:pPr>
      <w:bookmarkStart w:id="0" w:name="_GoBack"/>
      <w:bookmarkEnd w:id="0"/>
    </w:p>
    <w:p w:rsidR="00ED1124" w:rsidRDefault="00ED1124" w:rsidP="00ED1124">
      <w:pPr>
        <w:pStyle w:val="Paragraphedeliste"/>
        <w:rPr>
          <w:rFonts w:ascii="Marianne" w:hAnsi="Marianne" w:cs="Calibri"/>
          <w:b/>
          <w:bCs/>
          <w:sz w:val="24"/>
          <w:szCs w:val="18"/>
        </w:rPr>
      </w:pPr>
    </w:p>
    <w:p w:rsidR="00ED1124" w:rsidRDefault="00ED1124" w:rsidP="00ED1124">
      <w:pPr>
        <w:pStyle w:val="Paragraphedeliste"/>
        <w:rPr>
          <w:rFonts w:ascii="Marianne" w:hAnsi="Marianne" w:cs="Calibri"/>
          <w:b/>
          <w:bCs/>
          <w:sz w:val="24"/>
          <w:szCs w:val="18"/>
        </w:rPr>
      </w:pPr>
    </w:p>
    <w:p w:rsidR="00ED1124" w:rsidRDefault="00ED1124" w:rsidP="00ED1124">
      <w:pPr>
        <w:pStyle w:val="Paragraphedeliste"/>
        <w:rPr>
          <w:rFonts w:ascii="Marianne" w:hAnsi="Marianne" w:cs="Calibri"/>
          <w:b/>
          <w:bCs/>
          <w:sz w:val="24"/>
          <w:szCs w:val="18"/>
        </w:rPr>
      </w:pPr>
    </w:p>
    <w:p w:rsidR="00ED1124" w:rsidRDefault="00ED1124" w:rsidP="00ED1124">
      <w:pPr>
        <w:pStyle w:val="Paragraphedeliste"/>
        <w:rPr>
          <w:rFonts w:ascii="Marianne" w:hAnsi="Marianne" w:cs="Calibri"/>
          <w:b/>
          <w:bCs/>
          <w:sz w:val="24"/>
          <w:szCs w:val="18"/>
        </w:rPr>
      </w:pPr>
    </w:p>
    <w:p w:rsidR="00ED1124" w:rsidRDefault="00ED1124" w:rsidP="00ED1124">
      <w:pPr>
        <w:jc w:val="center"/>
        <w:rPr>
          <w:rFonts w:ascii="Calibri" w:hAnsi="Calibri" w:cs="Calibri"/>
          <w:b/>
          <w:smallCaps/>
          <w:color w:val="000080"/>
          <w:sz w:val="32"/>
          <w:szCs w:val="32"/>
        </w:rPr>
      </w:pPr>
      <w:r>
        <w:rPr>
          <w:rFonts w:ascii="Calibri" w:hAnsi="Calibri" w:cs="Calibri"/>
          <w:b/>
          <w:smallCaps/>
          <w:color w:val="000080"/>
          <w:sz w:val="32"/>
          <w:szCs w:val="32"/>
        </w:rPr>
        <w:t>Réserve d’ajustement au Brexit</w:t>
      </w:r>
    </w:p>
    <w:p w:rsidR="00ED1124" w:rsidRDefault="00ED1124" w:rsidP="00ED1124">
      <w:pPr>
        <w:jc w:val="center"/>
      </w:pPr>
    </w:p>
    <w:p w:rsidR="00187769" w:rsidRDefault="00187769" w:rsidP="00187769">
      <w:pPr>
        <w:jc w:val="center"/>
        <w:rPr>
          <w:rFonts w:ascii="Calibri" w:hAnsi="Calibri" w:cs="Calibri"/>
          <w:b/>
          <w:smallCaps/>
          <w:color w:val="000080"/>
          <w:sz w:val="28"/>
          <w:szCs w:val="28"/>
        </w:rPr>
      </w:pPr>
      <w:r>
        <w:rPr>
          <w:rFonts w:ascii="Calibri" w:hAnsi="Calibri" w:cs="Calibri"/>
          <w:b/>
          <w:smallCaps/>
          <w:color w:val="000080"/>
          <w:sz w:val="28"/>
          <w:szCs w:val="28"/>
        </w:rPr>
        <w:t>Tableau des pièces marché à fournir sur demande</w:t>
      </w:r>
    </w:p>
    <w:p w:rsidR="00ED1124" w:rsidRDefault="00ED1124" w:rsidP="00ED1124">
      <w:pPr>
        <w:rPr>
          <w:rFonts w:ascii="Calibri" w:hAnsi="Calibri" w:cs="Calibri"/>
          <w:b/>
          <w:smallCaps/>
          <w:color w:val="000080"/>
          <w:sz w:val="28"/>
          <w:szCs w:val="28"/>
        </w:rPr>
      </w:pPr>
    </w:p>
    <w:p w:rsidR="00F426B7" w:rsidRDefault="00F426B7" w:rsidP="00ED1124">
      <w:pPr>
        <w:rPr>
          <w:rFonts w:ascii="Marianne" w:hAnsi="Marianne" w:cs="Calibri"/>
          <w:b/>
          <w:bCs/>
          <w:sz w:val="24"/>
          <w:szCs w:val="18"/>
        </w:rPr>
      </w:pPr>
    </w:p>
    <w:p w:rsidR="00ED1124" w:rsidRDefault="00ED1124" w:rsidP="00ED1124">
      <w:pPr>
        <w:rPr>
          <w:rFonts w:ascii="Marianne" w:hAnsi="Marianne" w:cs="Calibri"/>
          <w:b/>
          <w:bCs/>
          <w:sz w:val="24"/>
          <w:szCs w:val="18"/>
        </w:rPr>
      </w:pPr>
      <w:r>
        <w:rPr>
          <w:rFonts w:ascii="Marianne" w:hAnsi="Marianne" w:cs="Calibri"/>
          <w:b/>
          <w:bCs/>
          <w:sz w:val="24"/>
          <w:szCs w:val="18"/>
        </w:rPr>
        <w:t xml:space="preserve">Référence du dossier (n° Synergie) : </w:t>
      </w:r>
    </w:p>
    <w:p w:rsidR="00ED1124" w:rsidRPr="00ED1124" w:rsidRDefault="00ED1124" w:rsidP="00ED1124">
      <w:pPr>
        <w:rPr>
          <w:rFonts w:ascii="Marianne" w:hAnsi="Marianne" w:cs="Calibri"/>
          <w:b/>
          <w:bCs/>
          <w:sz w:val="24"/>
          <w:szCs w:val="18"/>
        </w:rPr>
      </w:pPr>
    </w:p>
    <w:p w:rsidR="00ED1124" w:rsidRDefault="00ED1124" w:rsidP="00ED1124">
      <w:pPr>
        <w:suppressAutoHyphens w:val="0"/>
        <w:rPr>
          <w:rFonts w:ascii="Marianne" w:hAnsi="Marianne" w:cs="Calibri"/>
          <w:b/>
          <w:bCs/>
          <w:sz w:val="24"/>
          <w:szCs w:val="18"/>
        </w:rPr>
      </w:pPr>
    </w:p>
    <w:tbl>
      <w:tblPr>
        <w:tblStyle w:val="Grilledutableau"/>
        <w:tblW w:w="9952" w:type="dxa"/>
        <w:tblInd w:w="-459" w:type="dxa"/>
        <w:tblLook w:val="04A0" w:firstRow="1" w:lastRow="0" w:firstColumn="1" w:lastColumn="0" w:noHBand="0" w:noVBand="1"/>
      </w:tblPr>
      <w:tblGrid>
        <w:gridCol w:w="6124"/>
        <w:gridCol w:w="3828"/>
      </w:tblGrid>
      <w:tr w:rsidR="00E1318E" w:rsidRPr="00ED1124" w:rsidTr="00E1318E">
        <w:trPr>
          <w:trHeight w:val="345"/>
        </w:trPr>
        <w:tc>
          <w:tcPr>
            <w:tcW w:w="6124" w:type="dxa"/>
            <w:shd w:val="clear" w:color="auto" w:fill="DBE5F1" w:themeFill="accent1" w:themeFillTint="33"/>
            <w:vAlign w:val="center"/>
          </w:tcPr>
          <w:p w:rsidR="00E1318E" w:rsidRPr="00ED1124" w:rsidRDefault="00E1318E" w:rsidP="00235FC4">
            <w:pPr>
              <w:jc w:val="center"/>
              <w:rPr>
                <w:rFonts w:asciiTheme="minorHAnsi" w:hAnsiTheme="minorHAnsi" w:cstheme="minorHAnsi"/>
                <w:b/>
                <w:bCs/>
                <w:sz w:val="28"/>
              </w:rPr>
            </w:pPr>
            <w:r w:rsidRPr="00ED1124">
              <w:rPr>
                <w:rFonts w:asciiTheme="minorHAnsi" w:hAnsiTheme="minorHAnsi" w:cstheme="minorHAnsi"/>
                <w:b/>
                <w:lang w:eastAsia="en-US"/>
              </w:rPr>
              <w:t>Pièces constitutives du marché public</w:t>
            </w:r>
          </w:p>
        </w:tc>
        <w:tc>
          <w:tcPr>
            <w:tcW w:w="3828" w:type="dxa"/>
            <w:shd w:val="clear" w:color="auto" w:fill="DBE5F1" w:themeFill="accent1" w:themeFillTint="33"/>
            <w:vAlign w:val="center"/>
          </w:tcPr>
          <w:p w:rsidR="00E1318E" w:rsidRPr="00ED1124" w:rsidRDefault="00E1318E" w:rsidP="00235FC4">
            <w:pPr>
              <w:jc w:val="center"/>
              <w:rPr>
                <w:rFonts w:asciiTheme="minorHAnsi" w:hAnsiTheme="minorHAnsi" w:cstheme="minorHAnsi"/>
                <w:b/>
                <w:bCs/>
                <w:sz w:val="28"/>
              </w:rPr>
            </w:pPr>
            <w:r w:rsidRPr="00ED1124">
              <w:rPr>
                <w:rFonts w:asciiTheme="minorHAnsi" w:hAnsiTheme="minorHAnsi" w:cstheme="minorHAnsi"/>
                <w:b/>
                <w:lang w:eastAsia="en-US"/>
              </w:rPr>
              <w:t>Pièce</w:t>
            </w:r>
            <w:r>
              <w:rPr>
                <w:rFonts w:asciiTheme="minorHAnsi" w:hAnsiTheme="minorHAnsi" w:cstheme="minorHAnsi"/>
                <w:b/>
                <w:lang w:eastAsia="en-US"/>
              </w:rPr>
              <w:t>(</w:t>
            </w:r>
            <w:r w:rsidRPr="00ED1124">
              <w:rPr>
                <w:rFonts w:asciiTheme="minorHAnsi" w:hAnsiTheme="minorHAnsi" w:cstheme="minorHAnsi"/>
                <w:b/>
                <w:lang w:eastAsia="en-US"/>
              </w:rPr>
              <w:t>s</w:t>
            </w:r>
            <w:r>
              <w:rPr>
                <w:rFonts w:asciiTheme="minorHAnsi" w:hAnsiTheme="minorHAnsi" w:cstheme="minorHAnsi"/>
                <w:b/>
                <w:lang w:eastAsia="en-US"/>
              </w:rPr>
              <w:t>)</w:t>
            </w:r>
            <w:r w:rsidRPr="00ED1124">
              <w:rPr>
                <w:rFonts w:asciiTheme="minorHAnsi" w:hAnsiTheme="minorHAnsi" w:cstheme="minorHAnsi"/>
                <w:b/>
                <w:lang w:eastAsia="en-US"/>
              </w:rPr>
              <w:t xml:space="preserve"> à transmettre </w:t>
            </w:r>
          </w:p>
        </w:tc>
      </w:tr>
      <w:tr w:rsidR="00E1318E" w:rsidRPr="00ED1124" w:rsidTr="00E1318E">
        <w:trPr>
          <w:trHeight w:val="345"/>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Avis de publicité et rectificatifs (BOAMP, JOUE, Journal d’annonces légales…), ou/ invitation à concourir, demande de devis </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45"/>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Règlement de la consultation, lettre d’invitation à concourir </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Cahier des charges (CCAP, CCTP, CCP…)</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45"/>
        </w:trPr>
        <w:tc>
          <w:tcPr>
            <w:tcW w:w="6124" w:type="dxa"/>
            <w:shd w:val="clear" w:color="auto" w:fill="auto"/>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Annexe financière (bordereau de prix unitaire, décomposition du prix global et forfaitaire…)</w:t>
            </w:r>
          </w:p>
        </w:tc>
        <w:tc>
          <w:tcPr>
            <w:tcW w:w="3828" w:type="dxa"/>
            <w:shd w:val="clear" w:color="auto" w:fill="auto"/>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Lettre de candidature</w:t>
            </w:r>
          </w:p>
        </w:tc>
        <w:tc>
          <w:tcPr>
            <w:tcW w:w="3828" w:type="dxa"/>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Déclaration du candidat</w:t>
            </w:r>
          </w:p>
        </w:tc>
        <w:tc>
          <w:tcPr>
            <w:tcW w:w="3828" w:type="dxa"/>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shd w:val="clear" w:color="auto" w:fill="FFFFFF" w:themeFill="background1"/>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Acte d’engagement signé</w:t>
            </w:r>
          </w:p>
        </w:tc>
        <w:tc>
          <w:tcPr>
            <w:tcW w:w="3828" w:type="dxa"/>
            <w:shd w:val="clear" w:color="auto" w:fill="FFFFFF" w:themeFill="background1"/>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Présentation d’un sous-traitant </w:t>
            </w:r>
            <w:r w:rsidRPr="00ED1124">
              <w:rPr>
                <w:rFonts w:asciiTheme="minorHAnsi" w:hAnsiTheme="minorHAnsi" w:cstheme="minorHAnsi"/>
                <w:i/>
              </w:rPr>
              <w:t>(candidat retenu)</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Pièces fournies en vertu de l’art. R. 2142-5 et suivants du Code de la commande publique (expérience, capacités professionnelles, techniques et financières des candidats) + état annuel des certificats (pour le candidat retenu)</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Offre technique et financière du titulaire du marché (sans annexes)</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Offres des candidats non retenus</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Procès-verbal d’ouverture des plis</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Admission des candidatures </w:t>
            </w:r>
            <w:r w:rsidRPr="00ED1124">
              <w:rPr>
                <w:rFonts w:asciiTheme="minorHAnsi" w:hAnsiTheme="minorHAnsi" w:cstheme="minorHAnsi"/>
                <w:i/>
              </w:rPr>
              <w:t>(si marchés spéciaux)</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Demande de précisions ou de compléments sur l’offre (offre anormalement basse, etc.)</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Réponse à la demande de précisions ou de compléments sur l’offre</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Rapport(s)d’analyse des offres (CCO et/ou CTN), justification du choix de l’attributaire </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Mise au point</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shd w:val="clear" w:color="auto" w:fill="FFFFFF" w:themeFill="background1"/>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Acte d’engagement, bon(s) de commande (ou devis signé)</w:t>
            </w:r>
          </w:p>
        </w:tc>
        <w:tc>
          <w:tcPr>
            <w:tcW w:w="3828" w:type="dxa"/>
            <w:shd w:val="clear" w:color="auto" w:fill="FFFFFF" w:themeFill="background1"/>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shd w:val="clear" w:color="auto" w:fill="FFFFFF" w:themeFill="background1"/>
            <w:vAlign w:val="center"/>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Notification de rejet de candidature ou d’offre avec AR</w:t>
            </w:r>
          </w:p>
        </w:tc>
        <w:tc>
          <w:tcPr>
            <w:tcW w:w="3828" w:type="dxa"/>
            <w:shd w:val="clear" w:color="auto" w:fill="FFFFFF" w:themeFill="background1"/>
            <w:vAlign w:val="center"/>
          </w:tcPr>
          <w:p w:rsidR="00E1318E" w:rsidRPr="00ED1124" w:rsidRDefault="00E1318E" w:rsidP="00235FC4">
            <w:pPr>
              <w:jc w:val="center"/>
              <w:rPr>
                <w:rFonts w:asciiTheme="minorHAnsi" w:hAnsiTheme="minorHAnsi" w:cstheme="minorHAnsi"/>
                <w:b/>
                <w:color w:val="00B050"/>
                <w:sz w:val="24"/>
              </w:rPr>
            </w:pPr>
            <w:r w:rsidRPr="00ED1124">
              <w:rPr>
                <w:rFonts w:asciiTheme="minorHAnsi" w:hAnsiTheme="minorHAnsi" w:cstheme="minorHAnsi"/>
                <w:b/>
                <w:color w:val="00B050"/>
                <w:sz w:val="24"/>
              </w:rPr>
              <w:t>√</w:t>
            </w:r>
          </w:p>
          <w:p w:rsidR="00E1318E" w:rsidRPr="00ED1124" w:rsidRDefault="00E1318E" w:rsidP="00235FC4">
            <w:pPr>
              <w:jc w:val="center"/>
              <w:rPr>
                <w:rFonts w:asciiTheme="minorHAnsi" w:hAnsiTheme="minorHAnsi" w:cstheme="minorHAnsi"/>
                <w:b/>
                <w:bCs/>
                <w:sz w:val="24"/>
              </w:rPr>
            </w:pPr>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Notification du marché public ou de l’accord-cadre avec AR</w:t>
            </w:r>
          </w:p>
        </w:tc>
        <w:tc>
          <w:tcPr>
            <w:tcW w:w="3828" w:type="dxa"/>
            <w:vAlign w:val="center"/>
          </w:tcPr>
          <w:p w:rsidR="00E1318E" w:rsidRPr="00ED1124" w:rsidRDefault="00E1318E" w:rsidP="00235FC4">
            <w:pPr>
              <w:jc w:val="center"/>
              <w:rPr>
                <w:rFonts w:asciiTheme="minorHAnsi" w:hAnsiTheme="minorHAnsi" w:cstheme="minorHAnsi"/>
                <w:b/>
                <w:color w:val="00B050"/>
                <w:sz w:val="24"/>
              </w:rPr>
            </w:pPr>
            <w:r w:rsidRPr="00ED1124">
              <w:rPr>
                <w:rFonts w:asciiTheme="minorHAnsi" w:hAnsiTheme="minorHAnsi" w:cstheme="minorHAnsi"/>
                <w:b/>
                <w:color w:val="00B050"/>
                <w:sz w:val="24"/>
              </w:rPr>
              <w:t>√</w:t>
            </w:r>
          </w:p>
          <w:p w:rsidR="00E1318E" w:rsidRPr="00ED1124" w:rsidRDefault="00E1318E" w:rsidP="00235FC4">
            <w:pPr>
              <w:jc w:val="center"/>
              <w:rPr>
                <w:rFonts w:asciiTheme="minorHAnsi" w:hAnsiTheme="minorHAnsi" w:cstheme="minorHAnsi"/>
                <w:b/>
                <w:bCs/>
                <w:sz w:val="24"/>
              </w:rPr>
            </w:pPr>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Avis d’attribution du marché</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shd w:val="clear" w:color="auto" w:fill="FFFFFF" w:themeFill="background1"/>
          </w:tcPr>
          <w:p w:rsidR="00E1318E" w:rsidRPr="00ED1124" w:rsidRDefault="00E1318E" w:rsidP="00235FC4">
            <w:pPr>
              <w:jc w:val="both"/>
              <w:rPr>
                <w:rFonts w:asciiTheme="minorHAnsi" w:hAnsiTheme="minorHAnsi" w:cstheme="minorHAnsi"/>
                <w:lang w:eastAsia="en-US"/>
              </w:rPr>
            </w:pPr>
            <w:r w:rsidRPr="00ED1124">
              <w:rPr>
                <w:rFonts w:asciiTheme="minorHAnsi" w:hAnsiTheme="minorHAnsi" w:cstheme="minorHAnsi"/>
              </w:rPr>
              <w:t>Notification d’affermissement de(s) tranche(s)</w:t>
            </w:r>
          </w:p>
        </w:tc>
        <w:tc>
          <w:tcPr>
            <w:tcW w:w="3828" w:type="dxa"/>
            <w:shd w:val="clear" w:color="auto" w:fill="FFFFFF" w:themeFill="background1"/>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Rapport(s) de présentation d’un avenant signé (CCO et/ou CTN)</w:t>
            </w:r>
          </w:p>
        </w:tc>
        <w:tc>
          <w:tcPr>
            <w:tcW w:w="3828" w:type="dxa"/>
            <w:vAlign w:val="center"/>
          </w:tcPr>
          <w:p w:rsidR="00E1318E" w:rsidRPr="00ED1124" w:rsidRDefault="00E1318E" w:rsidP="00235FC4">
            <w:pPr>
              <w:jc w:val="center"/>
              <w:rPr>
                <w:rFonts w:asciiTheme="minorHAnsi" w:hAnsiTheme="minorHAnsi" w:cstheme="minorHAnsi"/>
                <w:b/>
                <w:bCs/>
                <w:sz w:val="24"/>
              </w:rPr>
            </w:pPr>
            <w:proofErr w:type="gramStart"/>
            <w:r w:rsidRPr="00ED1124">
              <w:rPr>
                <w:rFonts w:asciiTheme="minorHAnsi" w:hAnsiTheme="minorHAnsi" w:cstheme="minorHAnsi"/>
                <w:b/>
                <w:color w:val="FF0000"/>
                <w:sz w:val="24"/>
              </w:rPr>
              <w:t>x</w:t>
            </w:r>
            <w:proofErr w:type="gramEnd"/>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lastRenderedPageBreak/>
              <w:t xml:space="preserve"> Avenant(s)</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Décision de reconduction</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r w:rsidR="00E1318E" w:rsidRPr="00ED1124" w:rsidTr="00E1318E">
        <w:trPr>
          <w:trHeight w:val="331"/>
        </w:trPr>
        <w:tc>
          <w:tcPr>
            <w:tcW w:w="6124" w:type="dxa"/>
          </w:tcPr>
          <w:p w:rsidR="00E1318E" w:rsidRPr="00ED1124" w:rsidRDefault="00E1318E" w:rsidP="00235FC4">
            <w:pPr>
              <w:jc w:val="both"/>
              <w:rPr>
                <w:rFonts w:asciiTheme="minorHAnsi" w:hAnsiTheme="minorHAnsi" w:cstheme="minorHAnsi"/>
                <w:b/>
                <w:bCs/>
                <w:sz w:val="28"/>
              </w:rPr>
            </w:pPr>
            <w:r w:rsidRPr="00ED1124">
              <w:rPr>
                <w:rFonts w:asciiTheme="minorHAnsi" w:hAnsiTheme="minorHAnsi" w:cstheme="minorHAnsi"/>
              </w:rPr>
              <w:t xml:space="preserve"> Décision de résiliation</w:t>
            </w:r>
          </w:p>
        </w:tc>
        <w:tc>
          <w:tcPr>
            <w:tcW w:w="3828" w:type="dxa"/>
            <w:vAlign w:val="center"/>
          </w:tcPr>
          <w:p w:rsidR="00E1318E" w:rsidRPr="00ED1124" w:rsidRDefault="00E1318E" w:rsidP="00235FC4">
            <w:pPr>
              <w:jc w:val="center"/>
              <w:rPr>
                <w:rFonts w:asciiTheme="minorHAnsi" w:hAnsiTheme="minorHAnsi" w:cstheme="minorHAnsi"/>
                <w:b/>
                <w:bCs/>
                <w:sz w:val="24"/>
              </w:rPr>
            </w:pPr>
            <w:r w:rsidRPr="00ED1124">
              <w:rPr>
                <w:rFonts w:asciiTheme="minorHAnsi" w:hAnsiTheme="minorHAnsi" w:cstheme="minorHAnsi"/>
                <w:b/>
                <w:color w:val="00B050"/>
                <w:sz w:val="24"/>
              </w:rPr>
              <w:t>√</w:t>
            </w:r>
          </w:p>
        </w:tc>
      </w:tr>
    </w:tbl>
    <w:p w:rsidR="00ED1124" w:rsidRDefault="00ED1124" w:rsidP="00ED1124">
      <w:pPr>
        <w:suppressAutoHyphens w:val="0"/>
        <w:rPr>
          <w:rFonts w:ascii="Marianne" w:hAnsi="Marianne" w:cs="Calibri"/>
          <w:b/>
          <w:bCs/>
          <w:sz w:val="24"/>
          <w:szCs w:val="18"/>
        </w:rPr>
      </w:pPr>
    </w:p>
    <w:p w:rsidR="00970BCC" w:rsidRDefault="00970BCC" w:rsidP="00ED1124">
      <w:pPr>
        <w:suppressAutoHyphens w:val="0"/>
        <w:rPr>
          <w:rFonts w:ascii="Marianne" w:hAnsi="Marianne" w:cs="Calibri"/>
          <w:b/>
          <w:bCs/>
          <w:sz w:val="24"/>
          <w:szCs w:val="18"/>
        </w:rPr>
      </w:pPr>
    </w:p>
    <w:tbl>
      <w:tblPr>
        <w:tblStyle w:val="Grilledutableau"/>
        <w:tblW w:w="9209" w:type="dxa"/>
        <w:tblLook w:val="04A0" w:firstRow="1" w:lastRow="0" w:firstColumn="1" w:lastColumn="0" w:noHBand="0" w:noVBand="1"/>
      </w:tblPr>
      <w:tblGrid>
        <w:gridCol w:w="2801"/>
        <w:gridCol w:w="2813"/>
        <w:gridCol w:w="3595"/>
      </w:tblGrid>
      <w:tr w:rsidR="00ED1124" w:rsidRPr="00ED1124" w:rsidTr="00970BCC">
        <w:tc>
          <w:tcPr>
            <w:tcW w:w="2801" w:type="dxa"/>
          </w:tcPr>
          <w:p w:rsidR="00ED1124" w:rsidRPr="00ED1124" w:rsidRDefault="00ED1124" w:rsidP="00235FC4">
            <w:pPr>
              <w:rPr>
                <w:rFonts w:ascii="Marianne" w:eastAsiaTheme="minorHAnsi" w:hAnsi="Marianne" w:cstheme="minorBidi"/>
                <w:b/>
                <w:sz w:val="22"/>
                <w:lang w:eastAsia="en-US"/>
              </w:rPr>
            </w:pPr>
            <w:r w:rsidRPr="00ED1124">
              <w:rPr>
                <w:rFonts w:ascii="Marianne" w:eastAsiaTheme="minorHAnsi" w:hAnsi="Marianne" w:cstheme="minorBidi"/>
                <w:b/>
                <w:sz w:val="22"/>
                <w:lang w:eastAsia="en-US"/>
              </w:rPr>
              <w:t xml:space="preserve">Date : </w:t>
            </w:r>
          </w:p>
        </w:tc>
        <w:tc>
          <w:tcPr>
            <w:tcW w:w="2813" w:type="dxa"/>
          </w:tcPr>
          <w:p w:rsidR="00ED1124" w:rsidRPr="00ED1124" w:rsidRDefault="00ED1124" w:rsidP="00235FC4">
            <w:pPr>
              <w:rPr>
                <w:rFonts w:ascii="Marianne" w:eastAsiaTheme="minorHAnsi" w:hAnsi="Marianne" w:cstheme="minorBidi"/>
                <w:b/>
                <w:sz w:val="22"/>
                <w:lang w:eastAsia="en-US"/>
              </w:rPr>
            </w:pPr>
            <w:r w:rsidRPr="00ED1124">
              <w:rPr>
                <w:rFonts w:ascii="Marianne" w:eastAsiaTheme="minorHAnsi" w:hAnsi="Marianne" w:cstheme="minorBidi"/>
                <w:b/>
                <w:sz w:val="22"/>
                <w:lang w:eastAsia="en-US"/>
              </w:rPr>
              <w:t>Nom / service / entité :</w:t>
            </w:r>
          </w:p>
          <w:p w:rsidR="00ED1124" w:rsidRPr="00ED1124" w:rsidRDefault="00ED1124" w:rsidP="00235FC4">
            <w:pPr>
              <w:rPr>
                <w:rFonts w:ascii="Marianne" w:eastAsiaTheme="minorHAnsi" w:hAnsi="Marianne" w:cstheme="minorBidi"/>
                <w:sz w:val="22"/>
                <w:lang w:eastAsia="en-US"/>
              </w:rPr>
            </w:pPr>
          </w:p>
          <w:p w:rsidR="00ED1124" w:rsidRPr="00ED1124" w:rsidRDefault="00ED1124" w:rsidP="00235FC4">
            <w:pPr>
              <w:rPr>
                <w:rFonts w:ascii="Marianne" w:eastAsiaTheme="minorHAnsi" w:hAnsi="Marianne" w:cstheme="minorBidi"/>
                <w:sz w:val="22"/>
                <w:lang w:eastAsia="en-US"/>
              </w:rPr>
            </w:pPr>
          </w:p>
          <w:p w:rsidR="00ED1124" w:rsidRPr="00ED1124" w:rsidRDefault="00ED1124" w:rsidP="00235FC4">
            <w:pPr>
              <w:rPr>
                <w:rFonts w:ascii="Marianne" w:eastAsiaTheme="minorHAnsi" w:hAnsi="Marianne" w:cstheme="minorBidi"/>
                <w:sz w:val="22"/>
                <w:lang w:eastAsia="en-US"/>
              </w:rPr>
            </w:pPr>
          </w:p>
          <w:p w:rsidR="00ED1124" w:rsidRPr="00ED1124" w:rsidRDefault="00ED1124" w:rsidP="00235FC4">
            <w:pPr>
              <w:rPr>
                <w:rFonts w:ascii="Marianne" w:eastAsiaTheme="minorHAnsi" w:hAnsi="Marianne" w:cstheme="minorBidi"/>
                <w:sz w:val="22"/>
                <w:lang w:eastAsia="en-US"/>
              </w:rPr>
            </w:pPr>
          </w:p>
        </w:tc>
        <w:tc>
          <w:tcPr>
            <w:tcW w:w="3595" w:type="dxa"/>
          </w:tcPr>
          <w:p w:rsidR="00ED1124" w:rsidRPr="00ED1124" w:rsidRDefault="00ED1124" w:rsidP="00235FC4">
            <w:pPr>
              <w:rPr>
                <w:rFonts w:ascii="Marianne" w:eastAsiaTheme="minorHAnsi" w:hAnsi="Marianne" w:cstheme="minorBidi"/>
                <w:b/>
                <w:sz w:val="22"/>
                <w:lang w:eastAsia="en-US"/>
              </w:rPr>
            </w:pPr>
            <w:r w:rsidRPr="00ED1124">
              <w:rPr>
                <w:rFonts w:ascii="Marianne" w:eastAsiaTheme="minorHAnsi" w:hAnsi="Marianne" w:cstheme="minorBidi"/>
                <w:b/>
                <w:sz w:val="22"/>
                <w:lang w:eastAsia="en-US"/>
              </w:rPr>
              <w:t>Signature :</w:t>
            </w:r>
          </w:p>
        </w:tc>
      </w:tr>
    </w:tbl>
    <w:p w:rsidR="00ED1124" w:rsidRPr="00ED1124" w:rsidRDefault="00ED1124" w:rsidP="00970BCC">
      <w:pPr>
        <w:pBdr>
          <w:top w:val="single" w:sz="4" w:space="1" w:color="auto"/>
          <w:left w:val="single" w:sz="4" w:space="1" w:color="auto"/>
          <w:bottom w:val="single" w:sz="4" w:space="1" w:color="auto"/>
          <w:right w:val="single" w:sz="4" w:space="4" w:color="auto"/>
        </w:pBdr>
        <w:rPr>
          <w:rFonts w:ascii="Marianne" w:eastAsiaTheme="minorHAnsi" w:hAnsi="Marianne" w:cstheme="minorBidi"/>
          <w:lang w:eastAsia="en-US"/>
        </w:rPr>
      </w:pPr>
    </w:p>
    <w:p w:rsidR="00ED1124" w:rsidRPr="00ED1124" w:rsidRDefault="00ED1124" w:rsidP="00970BCC">
      <w:pPr>
        <w:pBdr>
          <w:top w:val="single" w:sz="4" w:space="1" w:color="auto"/>
          <w:left w:val="single" w:sz="4" w:space="1" w:color="auto"/>
          <w:bottom w:val="single" w:sz="4" w:space="1" w:color="auto"/>
          <w:right w:val="single" w:sz="4" w:space="4" w:color="auto"/>
        </w:pBdr>
        <w:rPr>
          <w:rFonts w:ascii="Marianne" w:eastAsiaTheme="minorHAnsi" w:hAnsi="Marianne" w:cstheme="minorBidi"/>
          <w:i/>
          <w:lang w:eastAsia="en-US"/>
        </w:rPr>
      </w:pPr>
      <w:r w:rsidRPr="00ED1124">
        <w:rPr>
          <w:rFonts w:ascii="Marianne" w:eastAsiaTheme="minorHAnsi" w:hAnsi="Marianne" w:cstheme="minorBidi"/>
          <w:i/>
          <w:lang w:eastAsia="en-US"/>
        </w:rPr>
        <w:t xml:space="preserve">NB : Par le présent document, le service s’engage : </w:t>
      </w:r>
    </w:p>
    <w:p w:rsidR="00ED1124" w:rsidRPr="00ED1124" w:rsidRDefault="00ED1124" w:rsidP="00970BCC">
      <w:pPr>
        <w:pBdr>
          <w:top w:val="single" w:sz="4" w:space="1" w:color="auto"/>
          <w:left w:val="single" w:sz="4" w:space="1" w:color="auto"/>
          <w:bottom w:val="single" w:sz="4" w:space="1" w:color="auto"/>
          <w:right w:val="single" w:sz="4" w:space="4" w:color="auto"/>
        </w:pBdr>
        <w:rPr>
          <w:rFonts w:ascii="Marianne" w:eastAsiaTheme="minorHAnsi" w:hAnsi="Marianne" w:cstheme="minorBidi"/>
          <w:i/>
          <w:lang w:eastAsia="en-US"/>
        </w:rPr>
      </w:pPr>
      <w:r w:rsidRPr="00ED1124">
        <w:rPr>
          <w:rFonts w:ascii="Marianne" w:eastAsiaTheme="minorHAnsi" w:hAnsi="Marianne" w:cstheme="minorBidi"/>
          <w:i/>
          <w:lang w:eastAsia="en-US"/>
        </w:rPr>
        <w:t xml:space="preserve">1/ </w:t>
      </w:r>
      <w:r w:rsidR="00E776DF" w:rsidRPr="00F22F88">
        <w:rPr>
          <w:rFonts w:ascii="Marianne" w:eastAsiaTheme="minorHAnsi" w:hAnsi="Marianne" w:cstheme="minorBidi"/>
          <w:i/>
          <w:lang w:eastAsia="en-US"/>
        </w:rPr>
        <w:t>à conserver toutes les pièces recensées dans le tableau pendant toute la durée de l’opération prenant appui sur le marché public concerné pour sa réalisation, conformément aux dispositions réglementaires en vigueur (cf. acte attributif)</w:t>
      </w:r>
    </w:p>
    <w:p w:rsidR="00ED1124" w:rsidRPr="00ED1124" w:rsidRDefault="00ED1124" w:rsidP="00970BCC">
      <w:pPr>
        <w:pBdr>
          <w:top w:val="single" w:sz="4" w:space="1" w:color="auto"/>
          <w:left w:val="single" w:sz="4" w:space="1" w:color="auto"/>
          <w:bottom w:val="single" w:sz="4" w:space="1" w:color="auto"/>
          <w:right w:val="single" w:sz="4" w:space="4" w:color="auto"/>
        </w:pBdr>
        <w:rPr>
          <w:rFonts w:ascii="Marianne" w:eastAsiaTheme="minorHAnsi" w:hAnsi="Marianne" w:cstheme="minorBidi"/>
          <w:i/>
          <w:lang w:eastAsia="en-US"/>
        </w:rPr>
      </w:pPr>
      <w:r w:rsidRPr="00ED1124">
        <w:rPr>
          <w:rFonts w:ascii="Marianne" w:eastAsiaTheme="minorHAnsi" w:hAnsi="Marianne" w:cstheme="minorBidi"/>
          <w:i/>
          <w:lang w:eastAsia="en-US"/>
        </w:rPr>
        <w:t xml:space="preserve">2/ à fournir toutes les pièces recensées dans le tableau en cas de contrôle (Commission européenne, Commission de coordination des contrôles, Cour des comptes…). </w:t>
      </w:r>
    </w:p>
    <w:p w:rsidR="00ED1124" w:rsidRPr="00ED1124" w:rsidRDefault="00ED1124" w:rsidP="00970BCC">
      <w:pPr>
        <w:pBdr>
          <w:top w:val="single" w:sz="4" w:space="1" w:color="auto"/>
          <w:left w:val="single" w:sz="4" w:space="1" w:color="auto"/>
          <w:bottom w:val="single" w:sz="4" w:space="1" w:color="auto"/>
          <w:right w:val="single" w:sz="4" w:space="4" w:color="auto"/>
        </w:pBdr>
        <w:rPr>
          <w:rFonts w:ascii="Marianne" w:eastAsiaTheme="minorHAnsi" w:hAnsi="Marianne" w:cstheme="minorBidi"/>
          <w:i/>
          <w:lang w:eastAsia="en-US"/>
        </w:rPr>
      </w:pPr>
    </w:p>
    <w:p w:rsidR="00ED1124" w:rsidRPr="00ED1124" w:rsidRDefault="00ED1124" w:rsidP="00970BCC">
      <w:pPr>
        <w:pBdr>
          <w:top w:val="single" w:sz="4" w:space="1" w:color="auto"/>
          <w:left w:val="single" w:sz="4" w:space="1" w:color="auto"/>
          <w:bottom w:val="single" w:sz="4" w:space="1" w:color="auto"/>
          <w:right w:val="single" w:sz="4" w:space="4" w:color="auto"/>
        </w:pBdr>
        <w:suppressAutoHyphens w:val="0"/>
        <w:rPr>
          <w:rFonts w:ascii="Marianne" w:hAnsi="Marianne" w:cs="Calibri"/>
          <w:b/>
          <w:bCs/>
          <w:sz w:val="24"/>
          <w:szCs w:val="18"/>
        </w:rPr>
      </w:pPr>
      <w:r w:rsidRPr="00ED1124">
        <w:rPr>
          <w:rFonts w:ascii="Marianne" w:eastAsiaTheme="minorHAnsi" w:hAnsi="Marianne" w:cstheme="minorBidi"/>
          <w:i/>
          <w:lang w:eastAsia="en-US"/>
        </w:rPr>
        <w:t>*Les pièces signalées (</w:t>
      </w:r>
      <w:r w:rsidRPr="00ED1124">
        <w:rPr>
          <w:rFonts w:ascii="Marianne" w:eastAsiaTheme="minorHAnsi" w:hAnsi="Marianne" w:cstheme="minorBidi"/>
          <w:b/>
          <w:i/>
          <w:color w:val="00B050"/>
          <w:lang w:eastAsia="en-US"/>
        </w:rPr>
        <w:t>√</w:t>
      </w:r>
      <w:r w:rsidRPr="00ED1124">
        <w:rPr>
          <w:rFonts w:ascii="Marianne" w:eastAsiaTheme="minorHAnsi" w:hAnsi="Marianne" w:cstheme="minorBidi"/>
          <w:i/>
          <w:lang w:eastAsia="en-US"/>
        </w:rPr>
        <w:t xml:space="preserve">) doivent être transmises par le service de la commande publique au bureau de </w:t>
      </w:r>
      <w:r w:rsidR="00676947">
        <w:rPr>
          <w:rFonts w:ascii="Marianne" w:eastAsiaTheme="minorHAnsi" w:hAnsi="Marianne" w:cstheme="minorBidi"/>
          <w:i/>
          <w:lang w:eastAsia="en-US"/>
        </w:rPr>
        <w:t>l’</w:t>
      </w:r>
      <w:r w:rsidR="00676947" w:rsidRPr="00676947">
        <w:rPr>
          <w:rFonts w:ascii="Marianne" w:eastAsiaTheme="minorHAnsi" w:hAnsi="Marianne" w:cstheme="minorBidi"/>
          <w:i/>
          <w:lang w:eastAsia="en-US"/>
        </w:rPr>
        <w:t>Unité Autorités de Gestion de fonds européens et Appui aux Porteurs de Projet</w:t>
      </w:r>
      <w:r w:rsidRPr="00ED1124">
        <w:rPr>
          <w:rFonts w:ascii="Marianne" w:eastAsiaTheme="minorHAnsi" w:hAnsi="Marianne" w:cstheme="minorBidi"/>
          <w:i/>
          <w:lang w:eastAsia="en-US"/>
        </w:rPr>
        <w:t>. Les pièces signalées (</w:t>
      </w:r>
      <w:r w:rsidRPr="00ED1124">
        <w:rPr>
          <w:rFonts w:ascii="Marianne" w:eastAsiaTheme="minorHAnsi" w:hAnsi="Marianne" w:cstheme="minorBidi"/>
          <w:b/>
          <w:i/>
          <w:color w:val="FF0000"/>
          <w:lang w:eastAsia="en-US"/>
        </w:rPr>
        <w:t>x</w:t>
      </w:r>
      <w:r w:rsidRPr="00ED1124">
        <w:rPr>
          <w:rFonts w:ascii="Marianne" w:eastAsiaTheme="minorHAnsi" w:hAnsi="Marianne" w:cstheme="minorBidi"/>
          <w:i/>
          <w:lang w:eastAsia="en-US"/>
        </w:rPr>
        <w:t>) sont conservées par le service de la commande publique et mises à disposition en cas de contrôle.</w:t>
      </w:r>
    </w:p>
    <w:p w:rsidR="00064BE5" w:rsidRDefault="00064BE5"/>
    <w:p w:rsidR="00164630" w:rsidRDefault="00164630">
      <w:pPr>
        <w:suppressAutoHyphens w:val="0"/>
        <w:spacing w:after="200" w:line="276" w:lineRule="auto"/>
      </w:pPr>
      <w:r>
        <w:br w:type="page"/>
      </w:r>
    </w:p>
    <w:p w:rsidR="00164630" w:rsidRPr="00970BCC" w:rsidRDefault="00164630" w:rsidP="00164630">
      <w:pPr>
        <w:jc w:val="center"/>
        <w:rPr>
          <w:rFonts w:ascii="Calibri" w:hAnsi="Calibri" w:cs="Calibri"/>
          <w:b/>
          <w:smallCaps/>
          <w:color w:val="000080"/>
          <w:sz w:val="36"/>
          <w:szCs w:val="28"/>
        </w:rPr>
      </w:pPr>
      <w:r w:rsidRPr="00970BCC">
        <w:rPr>
          <w:rFonts w:ascii="Calibri" w:hAnsi="Calibri" w:cs="Calibri"/>
          <w:b/>
          <w:smallCaps/>
          <w:color w:val="000080"/>
          <w:sz w:val="36"/>
          <w:szCs w:val="28"/>
        </w:rPr>
        <w:lastRenderedPageBreak/>
        <w:t xml:space="preserve">Annexe – Listing des marchés </w:t>
      </w:r>
    </w:p>
    <w:p w:rsidR="00164630" w:rsidRDefault="00164630" w:rsidP="00164630">
      <w:pPr>
        <w:jc w:val="center"/>
        <w:rPr>
          <w:rFonts w:ascii="Calibri" w:hAnsi="Calibri" w:cs="Calibri"/>
          <w:b/>
          <w:smallCaps/>
          <w:color w:val="000080"/>
          <w:sz w:val="28"/>
          <w:szCs w:val="28"/>
        </w:rPr>
      </w:pPr>
    </w:p>
    <w:p w:rsidR="00164630" w:rsidRDefault="00164630" w:rsidP="00164630">
      <w:pPr>
        <w:rPr>
          <w:rFonts w:ascii="Calibri" w:hAnsi="Calibri" w:cs="Calibri"/>
          <w:b/>
          <w:smallCaps/>
          <w:color w:val="000080"/>
          <w:sz w:val="28"/>
          <w:szCs w:val="28"/>
        </w:rPr>
      </w:pPr>
    </w:p>
    <w:tbl>
      <w:tblPr>
        <w:tblStyle w:val="Grilledutableau"/>
        <w:tblW w:w="0" w:type="auto"/>
        <w:tblLook w:val="04A0" w:firstRow="1" w:lastRow="0" w:firstColumn="1" w:lastColumn="0" w:noHBand="0" w:noVBand="1"/>
      </w:tblPr>
      <w:tblGrid>
        <w:gridCol w:w="3397"/>
        <w:gridCol w:w="5665"/>
      </w:tblGrid>
      <w:tr w:rsidR="00970BCC" w:rsidTr="00BE0C4A">
        <w:trPr>
          <w:trHeight w:val="427"/>
        </w:trPr>
        <w:tc>
          <w:tcPr>
            <w:tcW w:w="3397" w:type="dxa"/>
            <w:shd w:val="clear" w:color="auto" w:fill="DBE5F1" w:themeFill="accent1" w:themeFillTint="33"/>
            <w:vAlign w:val="center"/>
          </w:tcPr>
          <w:p w:rsidR="0041699D" w:rsidRPr="0041699D" w:rsidRDefault="00970BCC" w:rsidP="0041699D">
            <w:pPr>
              <w:jc w:val="center"/>
              <w:rPr>
                <w:rFonts w:ascii="Marianne" w:eastAsiaTheme="minorHAnsi" w:hAnsi="Marianne" w:cstheme="minorBidi"/>
                <w:b/>
                <w:sz w:val="22"/>
                <w:lang w:eastAsia="en-US"/>
              </w:rPr>
            </w:pPr>
            <w:r>
              <w:rPr>
                <w:rFonts w:ascii="Marianne" w:eastAsiaTheme="minorHAnsi" w:hAnsi="Marianne" w:cstheme="minorBidi"/>
                <w:b/>
                <w:sz w:val="22"/>
                <w:lang w:eastAsia="en-US"/>
              </w:rPr>
              <w:t>Numéro du marché</w:t>
            </w:r>
          </w:p>
        </w:tc>
        <w:tc>
          <w:tcPr>
            <w:tcW w:w="5665" w:type="dxa"/>
            <w:shd w:val="clear" w:color="auto" w:fill="DBE5F1" w:themeFill="accent1" w:themeFillTint="33"/>
            <w:vAlign w:val="center"/>
          </w:tcPr>
          <w:p w:rsidR="00970BCC" w:rsidRPr="00970BCC" w:rsidRDefault="00970BCC" w:rsidP="00F426B7">
            <w:pPr>
              <w:jc w:val="center"/>
              <w:rPr>
                <w:rFonts w:asciiTheme="minorHAnsi" w:hAnsiTheme="minorHAnsi" w:cstheme="minorHAnsi"/>
                <w:b/>
                <w:smallCaps/>
                <w:color w:val="000080"/>
                <w:sz w:val="28"/>
                <w:szCs w:val="28"/>
              </w:rPr>
            </w:pPr>
            <w:r>
              <w:rPr>
                <w:rFonts w:ascii="Marianne" w:eastAsiaTheme="minorHAnsi" w:hAnsi="Marianne" w:cstheme="minorBidi"/>
                <w:b/>
                <w:sz w:val="22"/>
                <w:lang w:eastAsia="en-US"/>
              </w:rPr>
              <w:t>Nom du marché</w:t>
            </w:r>
          </w:p>
        </w:tc>
      </w:tr>
      <w:tr w:rsidR="00970BCC" w:rsidTr="00BE0C4A">
        <w:tc>
          <w:tcPr>
            <w:tcW w:w="3397" w:type="dxa"/>
          </w:tcPr>
          <w:p w:rsidR="00DF259A" w:rsidRDefault="00DF259A" w:rsidP="00DF259A"/>
        </w:tc>
        <w:tc>
          <w:tcPr>
            <w:tcW w:w="5665" w:type="dxa"/>
          </w:tcPr>
          <w:p w:rsidR="00BE0C4A" w:rsidRPr="00F0550F" w:rsidRDefault="00BE0C4A" w:rsidP="00DF259A">
            <w:pPr>
              <w:rPr>
                <w:rFonts w:asciiTheme="minorHAnsi" w:hAnsiTheme="minorHAnsi" w:cstheme="minorHAnsi"/>
                <w:b/>
              </w:rPr>
            </w:pPr>
          </w:p>
        </w:tc>
      </w:tr>
      <w:tr w:rsidR="00FC0589" w:rsidTr="00BE0C4A">
        <w:tc>
          <w:tcPr>
            <w:tcW w:w="3397" w:type="dxa"/>
          </w:tcPr>
          <w:p w:rsidR="00FC0589" w:rsidRPr="00E776DF" w:rsidRDefault="00FC0589" w:rsidP="00E776DF">
            <w:pPr>
              <w:rPr>
                <w:rFonts w:asciiTheme="minorHAnsi" w:hAnsiTheme="minorHAnsi" w:cstheme="minorHAnsi"/>
              </w:rPr>
            </w:pPr>
          </w:p>
        </w:tc>
        <w:tc>
          <w:tcPr>
            <w:tcW w:w="5665" w:type="dxa"/>
          </w:tcPr>
          <w:p w:rsidR="00FC0589" w:rsidRPr="00E776DF" w:rsidRDefault="00FC0589"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0550F" w:rsidTr="00BE0C4A">
        <w:tc>
          <w:tcPr>
            <w:tcW w:w="3397" w:type="dxa"/>
          </w:tcPr>
          <w:p w:rsidR="00F0550F" w:rsidRPr="00E776DF" w:rsidRDefault="00F0550F" w:rsidP="00E776DF">
            <w:pPr>
              <w:rPr>
                <w:rFonts w:asciiTheme="minorHAnsi" w:hAnsiTheme="minorHAnsi" w:cstheme="minorHAnsi"/>
              </w:rPr>
            </w:pPr>
          </w:p>
        </w:tc>
        <w:tc>
          <w:tcPr>
            <w:tcW w:w="5665" w:type="dxa"/>
          </w:tcPr>
          <w:p w:rsidR="00F0550F" w:rsidRPr="00E776DF" w:rsidRDefault="00F0550F" w:rsidP="00E776DF">
            <w:pPr>
              <w:rPr>
                <w:rFonts w:asciiTheme="minorHAnsi" w:hAnsiTheme="minorHAnsi" w:cstheme="minorHAnsi"/>
              </w:rPr>
            </w:pPr>
          </w:p>
        </w:tc>
      </w:tr>
      <w:tr w:rsidR="00FC0589" w:rsidTr="00BE0C4A">
        <w:tc>
          <w:tcPr>
            <w:tcW w:w="3397" w:type="dxa"/>
          </w:tcPr>
          <w:p w:rsidR="00FC0589" w:rsidRPr="00E776DF" w:rsidRDefault="00FC0589" w:rsidP="00E776DF">
            <w:pPr>
              <w:rPr>
                <w:rFonts w:asciiTheme="minorHAnsi" w:hAnsiTheme="minorHAnsi" w:cstheme="minorHAnsi"/>
              </w:rPr>
            </w:pPr>
          </w:p>
        </w:tc>
        <w:tc>
          <w:tcPr>
            <w:tcW w:w="5665" w:type="dxa"/>
          </w:tcPr>
          <w:p w:rsidR="00FC0589" w:rsidRPr="00E776DF" w:rsidRDefault="00FC0589" w:rsidP="00E776DF">
            <w:pPr>
              <w:rPr>
                <w:rFonts w:asciiTheme="minorHAnsi" w:hAnsiTheme="minorHAnsi" w:cstheme="minorHAnsi"/>
              </w:rPr>
            </w:pPr>
          </w:p>
        </w:tc>
      </w:tr>
    </w:tbl>
    <w:p w:rsidR="00970BCC" w:rsidRDefault="00970BCC" w:rsidP="00164630">
      <w:pPr>
        <w:rPr>
          <w:rFonts w:ascii="Calibri" w:hAnsi="Calibri" w:cs="Calibri"/>
          <w:b/>
          <w:smallCaps/>
          <w:color w:val="000080"/>
          <w:sz w:val="28"/>
          <w:szCs w:val="28"/>
        </w:rPr>
      </w:pPr>
    </w:p>
    <w:p w:rsidR="009850C1" w:rsidRPr="009850C1" w:rsidRDefault="009850C1" w:rsidP="009850C1">
      <w:pPr>
        <w:rPr>
          <w:rFonts w:asciiTheme="minorHAnsi" w:hAnsiTheme="minorHAnsi" w:cstheme="minorHAnsi"/>
        </w:rPr>
      </w:pPr>
      <w:r w:rsidRPr="009850C1">
        <w:rPr>
          <w:rFonts w:asciiTheme="minorHAnsi" w:hAnsiTheme="minorHAnsi" w:cstheme="minorHAnsi"/>
        </w:rPr>
        <w:t>À compléter en cas de besoin</w:t>
      </w:r>
    </w:p>
    <w:p w:rsidR="00164630" w:rsidRDefault="00164630"/>
    <w:sectPr w:rsidR="00164630" w:rsidSect="00ED1124">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C6E" w:rsidRDefault="00AF6C6E" w:rsidP="00ED1124">
      <w:r>
        <w:separator/>
      </w:r>
    </w:p>
  </w:endnote>
  <w:endnote w:type="continuationSeparator" w:id="0">
    <w:p w:rsidR="00AF6C6E" w:rsidRDefault="00AF6C6E" w:rsidP="00ED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BCC" w:rsidRDefault="00970BCC">
    <w:pPr>
      <w:pStyle w:val="Pieddepage"/>
    </w:pPr>
    <w:r>
      <w:rPr>
        <w:noProof/>
        <w:sz w:val="24"/>
      </w:rPr>
      <w:drawing>
        <wp:anchor distT="0" distB="0" distL="114300" distR="114300" simplePos="0" relativeHeight="251666432" behindDoc="0" locked="0" layoutInCell="1" allowOverlap="1" wp14:anchorId="3CA7D19F" wp14:editId="0D219642">
          <wp:simplePos x="0" y="0"/>
          <wp:positionH relativeFrom="margin">
            <wp:align>right</wp:align>
          </wp:positionH>
          <wp:positionV relativeFrom="paragraph">
            <wp:posOffset>-120494</wp:posOffset>
          </wp:positionV>
          <wp:extent cx="1895478" cy="397581"/>
          <wp:effectExtent l="0" t="0" r="0" b="2540"/>
          <wp:wrapNone/>
          <wp:docPr id="6" name="Imag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95478" cy="397581"/>
                  </a:xfrm>
                  <a:prstGeom prst="rect">
                    <a:avLst/>
                  </a:prstGeom>
                  <a:noFill/>
                  <a:ln>
                    <a:noFill/>
                    <a:prstDash/>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BCC" w:rsidRDefault="00970BCC">
    <w:pPr>
      <w:pStyle w:val="Pieddepage"/>
    </w:pPr>
    <w:r>
      <w:rPr>
        <w:noProof/>
        <w:sz w:val="24"/>
      </w:rPr>
      <w:drawing>
        <wp:anchor distT="0" distB="0" distL="114300" distR="114300" simplePos="0" relativeHeight="251668480" behindDoc="0" locked="0" layoutInCell="1" allowOverlap="1" wp14:anchorId="3CA7D19F" wp14:editId="0D219642">
          <wp:simplePos x="0" y="0"/>
          <wp:positionH relativeFrom="margin">
            <wp:posOffset>4062766</wp:posOffset>
          </wp:positionH>
          <wp:positionV relativeFrom="paragraph">
            <wp:posOffset>-138167</wp:posOffset>
          </wp:positionV>
          <wp:extent cx="1895478" cy="397581"/>
          <wp:effectExtent l="0" t="0" r="9522" b="2469"/>
          <wp:wrapNone/>
          <wp:docPr id="7" name="Imag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95478" cy="397581"/>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C6E" w:rsidRDefault="00AF6C6E" w:rsidP="00ED1124">
      <w:r>
        <w:separator/>
      </w:r>
    </w:p>
  </w:footnote>
  <w:footnote w:type="continuationSeparator" w:id="0">
    <w:p w:rsidR="00AF6C6E" w:rsidRDefault="00AF6C6E" w:rsidP="00ED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124" w:rsidRDefault="00ED1124">
    <w:pPr>
      <w:pStyle w:val="En-tte"/>
    </w:pPr>
    <w:r>
      <w:rPr>
        <w:noProof/>
      </w:rPr>
      <w:drawing>
        <wp:anchor distT="0" distB="0" distL="114300" distR="114300" simplePos="0" relativeHeight="251661312" behindDoc="0" locked="0" layoutInCell="1" allowOverlap="1" wp14:anchorId="1EAD2062" wp14:editId="72C021CC">
          <wp:simplePos x="0" y="0"/>
          <wp:positionH relativeFrom="margin">
            <wp:posOffset>-276045</wp:posOffset>
          </wp:positionH>
          <wp:positionV relativeFrom="paragraph">
            <wp:posOffset>-9261</wp:posOffset>
          </wp:positionV>
          <wp:extent cx="2832097" cy="890268"/>
          <wp:effectExtent l="0" t="0" r="6353" b="5082"/>
          <wp:wrapNone/>
          <wp:docPr id="3"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32097" cy="890268"/>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58095E20" wp14:editId="7A6CCB76">
          <wp:simplePos x="0" y="0"/>
          <wp:positionH relativeFrom="margin">
            <wp:posOffset>4701396</wp:posOffset>
          </wp:positionH>
          <wp:positionV relativeFrom="paragraph">
            <wp:posOffset>59750</wp:posOffset>
          </wp:positionV>
          <wp:extent cx="1210062" cy="764840"/>
          <wp:effectExtent l="0" t="0" r="9138" b="0"/>
          <wp:wrapNone/>
          <wp:docPr id="4"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84916" t="-5390"/>
                  <a:stretch>
                    <a:fillRect/>
                  </a:stretch>
                </pic:blipFill>
                <pic:spPr>
                  <a:xfrm>
                    <a:off x="0" y="0"/>
                    <a:ext cx="1210062" cy="7648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F4587"/>
    <w:multiLevelType w:val="hybridMultilevel"/>
    <w:tmpl w:val="91F83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24"/>
    <w:rsid w:val="00064BE5"/>
    <w:rsid w:val="000C61A7"/>
    <w:rsid w:val="00164630"/>
    <w:rsid w:val="00187769"/>
    <w:rsid w:val="003358D0"/>
    <w:rsid w:val="0035173E"/>
    <w:rsid w:val="0041699D"/>
    <w:rsid w:val="004720D9"/>
    <w:rsid w:val="00676947"/>
    <w:rsid w:val="00694503"/>
    <w:rsid w:val="007A0305"/>
    <w:rsid w:val="00876662"/>
    <w:rsid w:val="00970BCC"/>
    <w:rsid w:val="009850C1"/>
    <w:rsid w:val="00A924F4"/>
    <w:rsid w:val="00AF6C6E"/>
    <w:rsid w:val="00B01B13"/>
    <w:rsid w:val="00BE0C4A"/>
    <w:rsid w:val="00BF5989"/>
    <w:rsid w:val="00C04A9D"/>
    <w:rsid w:val="00D577F9"/>
    <w:rsid w:val="00D75ADC"/>
    <w:rsid w:val="00DF259A"/>
    <w:rsid w:val="00E1318E"/>
    <w:rsid w:val="00E776DF"/>
    <w:rsid w:val="00E86770"/>
    <w:rsid w:val="00ED1124"/>
    <w:rsid w:val="00F0550F"/>
    <w:rsid w:val="00F426B7"/>
    <w:rsid w:val="00F553D7"/>
    <w:rsid w:val="00FC05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D09EB-9820-4E9C-9035-A770AE08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124"/>
    <w:pPr>
      <w:suppressAutoHyphens/>
      <w:spacing w:after="0" w:line="240" w:lineRule="auto"/>
    </w:pPr>
    <w:rPr>
      <w:rFonts w:ascii="Times New Roman" w:eastAsia="SimSun" w:hAnsi="Times New Roman" w:cs="Times New Roman"/>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D1124"/>
    <w:pPr>
      <w:suppressAutoHyphens/>
      <w:spacing w:after="0" w:line="240" w:lineRule="auto"/>
    </w:pPr>
    <w:rPr>
      <w:rFonts w:ascii="Calibri" w:eastAsia="Calibri" w:hAnsi="Calibri" w:cs="Tahoma"/>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ED1124"/>
    <w:pPr>
      <w:ind w:left="720"/>
      <w:contextualSpacing/>
    </w:pPr>
  </w:style>
  <w:style w:type="character" w:customStyle="1" w:styleId="ParagraphedelisteCar">
    <w:name w:val="Paragraphe de liste Car"/>
    <w:link w:val="Paragraphedeliste"/>
    <w:uiPriority w:val="34"/>
    <w:locked/>
    <w:rsid w:val="00ED1124"/>
    <w:rPr>
      <w:rFonts w:ascii="Times New Roman" w:eastAsia="SimSun" w:hAnsi="Times New Roman" w:cs="Times New Roman"/>
      <w:sz w:val="20"/>
      <w:szCs w:val="20"/>
      <w:lang w:eastAsia="zh-CN"/>
    </w:rPr>
  </w:style>
  <w:style w:type="paragraph" w:styleId="En-tte">
    <w:name w:val="header"/>
    <w:basedOn w:val="Normal"/>
    <w:link w:val="En-tteCar"/>
    <w:uiPriority w:val="99"/>
    <w:unhideWhenUsed/>
    <w:rsid w:val="00ED1124"/>
    <w:pPr>
      <w:tabs>
        <w:tab w:val="center" w:pos="4536"/>
        <w:tab w:val="right" w:pos="9072"/>
      </w:tabs>
    </w:pPr>
  </w:style>
  <w:style w:type="character" w:customStyle="1" w:styleId="En-tteCar">
    <w:name w:val="En-tête Car"/>
    <w:basedOn w:val="Policepardfaut"/>
    <w:link w:val="En-tte"/>
    <w:uiPriority w:val="99"/>
    <w:rsid w:val="00ED1124"/>
    <w:rPr>
      <w:rFonts w:ascii="Times New Roman" w:eastAsia="SimSun" w:hAnsi="Times New Roman" w:cs="Times New Roman"/>
      <w:sz w:val="20"/>
      <w:szCs w:val="20"/>
      <w:lang w:eastAsia="zh-CN"/>
    </w:rPr>
  </w:style>
  <w:style w:type="paragraph" w:styleId="Pieddepage">
    <w:name w:val="footer"/>
    <w:basedOn w:val="Normal"/>
    <w:link w:val="PieddepageCar"/>
    <w:uiPriority w:val="99"/>
    <w:unhideWhenUsed/>
    <w:rsid w:val="00ED1124"/>
    <w:pPr>
      <w:tabs>
        <w:tab w:val="center" w:pos="4536"/>
        <w:tab w:val="right" w:pos="9072"/>
      </w:tabs>
    </w:pPr>
  </w:style>
  <w:style w:type="character" w:customStyle="1" w:styleId="PieddepageCar">
    <w:name w:val="Pied de page Car"/>
    <w:basedOn w:val="Policepardfaut"/>
    <w:link w:val="Pieddepage"/>
    <w:uiPriority w:val="99"/>
    <w:rsid w:val="00ED1124"/>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98182">
      <w:bodyDiv w:val="1"/>
      <w:marLeft w:val="0"/>
      <w:marRight w:val="0"/>
      <w:marTop w:val="0"/>
      <w:marBottom w:val="0"/>
      <w:divBdr>
        <w:top w:val="none" w:sz="0" w:space="0" w:color="auto"/>
        <w:left w:val="none" w:sz="0" w:space="0" w:color="auto"/>
        <w:bottom w:val="none" w:sz="0" w:space="0" w:color="auto"/>
        <w:right w:val="none" w:sz="0" w:space="0" w:color="auto"/>
      </w:divBdr>
    </w:div>
    <w:div w:id="143027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ANCT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PIGNARRE Lauryn</dc:creator>
  <cp:keywords/>
  <dc:description/>
  <cp:lastModifiedBy>PIGNARRE Lauryn</cp:lastModifiedBy>
  <cp:revision>2</cp:revision>
  <dcterms:created xsi:type="dcterms:W3CDTF">2023-04-05T15:45:00Z</dcterms:created>
  <dcterms:modified xsi:type="dcterms:W3CDTF">2023-04-05T15:45:00Z</dcterms:modified>
</cp:coreProperties>
</file>